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02" w:rsidRPr="001C6B02" w:rsidRDefault="001C6B02" w:rsidP="001C6B0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Новые правила премирования</w:t>
      </w:r>
    </w:p>
    <w:p w:rsidR="001C6B02" w:rsidRPr="001C6B02" w:rsidRDefault="001C6B02" w:rsidP="001C6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6B02">
        <w:rPr>
          <w:rFonts w:ascii="Times New Roman" w:eastAsia="Times New Roman" w:hAnsi="Times New Roman" w:cs="Times New Roman"/>
          <w:color w:val="FFFFFF"/>
          <w:sz w:val="28"/>
          <w:szCs w:val="28"/>
        </w:rPr>
        <w:t>Текст</w:t>
      </w:r>
    </w:p>
    <w:p w:rsidR="001C6B02" w:rsidRPr="001C6B02" w:rsidRDefault="001C6B02" w:rsidP="001C6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C6B02">
        <w:rPr>
          <w:rFonts w:ascii="Times New Roman" w:eastAsia="Times New Roman" w:hAnsi="Times New Roman" w:cs="Times New Roman"/>
          <w:color w:val="FFFFFF"/>
          <w:sz w:val="28"/>
          <w:szCs w:val="28"/>
        </w:rPr>
        <w:t>Под</w:t>
      </w:r>
    </w:p>
    <w:p w:rsidR="001C6B02" w:rsidRPr="001C6B02" w:rsidRDefault="001C6B02" w:rsidP="001C6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B02">
        <w:rPr>
          <w:rFonts w:ascii="Times New Roman" w:eastAsia="Times New Roman" w:hAnsi="Times New Roman" w:cs="Times New Roman"/>
          <w:color w:val="333333"/>
          <w:sz w:val="28"/>
          <w:szCs w:val="28"/>
        </w:rPr>
        <w:t>Согласно новой редакции статьи 135 ТК РФ, работодатели должны определять виды, размеры, сроки, основания и условия премирования в ЛНА, коллективных договорах или соглашениях.</w:t>
      </w:r>
    </w:p>
    <w:p w:rsidR="001C6B02" w:rsidRPr="001C6B02" w:rsidRDefault="001C6B02" w:rsidP="001C6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B02">
        <w:rPr>
          <w:rFonts w:ascii="Times New Roman" w:eastAsia="Times New Roman" w:hAnsi="Times New Roman" w:cs="Times New Roman"/>
          <w:color w:val="333333"/>
          <w:sz w:val="28"/>
          <w:szCs w:val="28"/>
        </w:rPr>
        <w:t>Как именно всё это установить, работодатель может решить сам.</w:t>
      </w:r>
    </w:p>
    <w:p w:rsidR="001C6B02" w:rsidRPr="001C6B02" w:rsidRDefault="001C6B02" w:rsidP="001C6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B02">
        <w:rPr>
          <w:rFonts w:ascii="Times New Roman" w:eastAsia="Times New Roman" w:hAnsi="Times New Roman" w:cs="Times New Roman"/>
          <w:color w:val="333333"/>
          <w:sz w:val="28"/>
          <w:szCs w:val="28"/>
        </w:rPr>
        <w:t>Однако, согласно Федеральному закону от 07.06.2025 № 144-ФЗ, которым поправки в ТК и приняли, работодатель должен учитывать: качество и эффективность работы сотрудника; длительность его трудовой деятельности; наличие или отсутствие дисциплинарных взысканий.</w:t>
      </w:r>
    </w:p>
    <w:p w:rsidR="001C6B02" w:rsidRDefault="001C6B02" w:rsidP="001C6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B0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 решению Конституционного суда в статью 135 ТК  добавили положение о том, как можно снизить премию работнику, который совершил проступок. </w:t>
      </w:r>
    </w:p>
    <w:p w:rsidR="001C6B02" w:rsidRPr="001C6B02" w:rsidRDefault="001C6B02" w:rsidP="001C6B0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1C6B02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Правила такие: снизить премию можно так, чтобы зарплата за месяц в целом уменьшилась не больше, чем на 20%; снизить можно только премии, которые входят в состав зарплаты специалиста; урезать можно только премию, которая начислена за период, в котором к работнику применили взыскание.</w:t>
      </w:r>
    </w:p>
    <w:p w:rsidR="00000000" w:rsidRDefault="001C6B0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6B02"/>
    <w:rsid w:val="001C6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tooltip">
    <w:name w:val="feeds-page__navigation_tooltip"/>
    <w:basedOn w:val="a0"/>
    <w:rsid w:val="001C6B02"/>
  </w:style>
  <w:style w:type="paragraph" w:styleId="a3">
    <w:name w:val="Normal (Web)"/>
    <w:basedOn w:val="a"/>
    <w:uiPriority w:val="99"/>
    <w:semiHidden/>
    <w:unhideWhenUsed/>
    <w:rsid w:val="001C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213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14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60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640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2025-11-25T09:03:00Z</dcterms:created>
  <dcterms:modified xsi:type="dcterms:W3CDTF">2025-11-25T09:03:00Z</dcterms:modified>
</cp:coreProperties>
</file>