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E5A47" w:rsidRPr="00441A00" w:rsidRDefault="005E5A47" w:rsidP="005E5A4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sz w:val="26"/>
          <w:szCs w:val="26"/>
        </w:rPr>
      </w:pPr>
      <w:r w:rsidRPr="00441A00">
        <w:rPr>
          <w:noProof/>
          <w:sz w:val="26"/>
          <w:szCs w:val="26"/>
          <w:lang w:eastAsia="ru-RU"/>
        </w:rPr>
        <w:drawing>
          <wp:anchor distT="0" distB="0" distL="114935" distR="114935" simplePos="0" relativeHeight="25165824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154305</wp:posOffset>
            </wp:positionV>
            <wp:extent cx="3223260" cy="7696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81" r="-18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47" w:rsidRPr="00441A00" w:rsidRDefault="005E5A47" w:rsidP="005E5A4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sz w:val="26"/>
          <w:szCs w:val="26"/>
        </w:rPr>
      </w:pPr>
    </w:p>
    <w:p w:rsidR="005E5A47" w:rsidRPr="00441A00" w:rsidRDefault="005E5A47" w:rsidP="005E5A4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sz w:val="26"/>
          <w:szCs w:val="26"/>
        </w:rPr>
      </w:pPr>
      <w:r w:rsidRPr="00441A00">
        <w:rPr>
          <w:rStyle w:val="af0"/>
          <w:b/>
          <w:bCs/>
          <w:sz w:val="26"/>
          <w:szCs w:val="26"/>
        </w:rPr>
        <w:t>2</w:t>
      </w:r>
      <w:r w:rsidR="00B00E9E" w:rsidRPr="00441A00">
        <w:rPr>
          <w:rStyle w:val="af0"/>
          <w:b/>
          <w:bCs/>
          <w:sz w:val="26"/>
          <w:szCs w:val="26"/>
        </w:rPr>
        <w:t>7</w:t>
      </w:r>
      <w:r w:rsidRPr="00441A00">
        <w:rPr>
          <w:rStyle w:val="af0"/>
          <w:b/>
          <w:bCs/>
          <w:sz w:val="26"/>
          <w:szCs w:val="26"/>
        </w:rPr>
        <w:t xml:space="preserve"> марта 2026 года</w:t>
      </w:r>
    </w:p>
    <w:p w:rsidR="005E5A47" w:rsidRPr="00441A00" w:rsidRDefault="005E5A47" w:rsidP="005E5A47">
      <w:pPr>
        <w:tabs>
          <w:tab w:val="left" w:pos="4830"/>
        </w:tabs>
        <w:ind w:firstLine="709"/>
        <w:jc w:val="both"/>
        <w:rPr>
          <w:sz w:val="26"/>
          <w:szCs w:val="26"/>
        </w:rPr>
      </w:pPr>
    </w:p>
    <w:p w:rsidR="005E5A47" w:rsidRPr="00441A00" w:rsidRDefault="005E5A47" w:rsidP="005E5A47">
      <w:pPr>
        <w:tabs>
          <w:tab w:val="left" w:pos="4830"/>
        </w:tabs>
        <w:jc w:val="center"/>
        <w:rPr>
          <w:sz w:val="26"/>
          <w:szCs w:val="26"/>
        </w:rPr>
      </w:pPr>
    </w:p>
    <w:p w:rsidR="005E5A47" w:rsidRPr="00441A00" w:rsidRDefault="005E5A47" w:rsidP="005E5A47">
      <w:pPr>
        <w:tabs>
          <w:tab w:val="left" w:pos="4830"/>
        </w:tabs>
        <w:jc w:val="center"/>
        <w:rPr>
          <w:rFonts w:ascii="Inter" w:hAnsi="Inter" w:cs="Inter"/>
          <w:b/>
          <w:bCs/>
          <w:color w:val="F9FAFB"/>
          <w:sz w:val="26"/>
          <w:szCs w:val="26"/>
          <w:shd w:val="clear" w:color="auto" w:fill="151517"/>
        </w:rPr>
      </w:pPr>
    </w:p>
    <w:p w:rsidR="00441A00" w:rsidRPr="00441A00" w:rsidRDefault="00441A00" w:rsidP="00441A00">
      <w:pPr>
        <w:jc w:val="center"/>
        <w:rPr>
          <w:rFonts w:eastAsia="Arial Unicode MS"/>
          <w:b/>
          <w:color w:val="0070C0"/>
          <w:sz w:val="26"/>
          <w:szCs w:val="26"/>
        </w:rPr>
      </w:pPr>
      <w:r w:rsidRPr="00441A00">
        <w:rPr>
          <w:rFonts w:eastAsia="Arial Unicode MS"/>
          <w:b/>
          <w:color w:val="0070C0"/>
          <w:sz w:val="26"/>
          <w:szCs w:val="26"/>
        </w:rPr>
        <w:t>Челябинская область вошла в число регионов, где полностью завершено внесение в ЕГРН зон затопления и подтопления</w:t>
      </w:r>
    </w:p>
    <w:p w:rsidR="00441A00" w:rsidRPr="00441A00" w:rsidRDefault="00441A00" w:rsidP="00441A00">
      <w:pPr>
        <w:tabs>
          <w:tab w:val="left" w:pos="4830"/>
        </w:tabs>
        <w:ind w:firstLine="709"/>
        <w:jc w:val="both"/>
        <w:rPr>
          <w:rStyle w:val="af0"/>
          <w:b/>
          <w:kern w:val="2"/>
          <w:sz w:val="26"/>
          <w:szCs w:val="26"/>
        </w:rPr>
      </w:pPr>
    </w:p>
    <w:p w:rsidR="00441A00" w:rsidRPr="00441A00" w:rsidRDefault="00441A00" w:rsidP="00441A00">
      <w:pPr>
        <w:tabs>
          <w:tab w:val="left" w:pos="4830"/>
        </w:tabs>
        <w:ind w:firstLine="709"/>
        <w:jc w:val="both"/>
        <w:rPr>
          <w:rStyle w:val="af0"/>
          <w:b/>
          <w:kern w:val="2"/>
          <w:sz w:val="26"/>
          <w:szCs w:val="26"/>
        </w:rPr>
      </w:pPr>
      <w:r w:rsidRPr="00441A00">
        <w:rPr>
          <w:rStyle w:val="af0"/>
          <w:b/>
          <w:kern w:val="2"/>
          <w:sz w:val="26"/>
          <w:szCs w:val="26"/>
        </w:rPr>
        <w:t xml:space="preserve">В преддверии весеннего половодья региональное Управление Росреестра </w:t>
      </w:r>
      <w:bookmarkStart w:id="0" w:name="_GoBack"/>
      <w:bookmarkEnd w:id="0"/>
      <w:r w:rsidRPr="00441A00">
        <w:rPr>
          <w:rStyle w:val="af0"/>
          <w:b/>
          <w:kern w:val="2"/>
          <w:sz w:val="26"/>
          <w:szCs w:val="26"/>
        </w:rPr>
        <w:t xml:space="preserve">и филиал ППК «Роскадастр» по Челябинской области напоминают, что данные о границах территорий, подверженных риску подтопления и затопления, имеют юридическую силу только после внесения в Единый государственный реестр недвижимости (ЕГРН). Челябинская область — один из регионов, где эта работа завершена в полном объёме. В рубрике «Цифра дня» делимся подробностями. </w:t>
      </w:r>
    </w:p>
    <w:p w:rsidR="00441A00" w:rsidRPr="00441A00" w:rsidRDefault="00441A00" w:rsidP="00441A00">
      <w:pPr>
        <w:tabs>
          <w:tab w:val="left" w:pos="4830"/>
        </w:tabs>
        <w:ind w:firstLine="709"/>
        <w:jc w:val="both"/>
        <w:rPr>
          <w:rStyle w:val="af0"/>
          <w:b/>
          <w:kern w:val="2"/>
          <w:sz w:val="26"/>
          <w:szCs w:val="26"/>
        </w:rPr>
      </w:pPr>
    </w:p>
    <w:p w:rsidR="00441A00" w:rsidRPr="00441A00" w:rsidRDefault="00441A00" w:rsidP="00441A00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6"/>
          <w:szCs w:val="26"/>
        </w:rPr>
      </w:pPr>
      <w:r w:rsidRPr="00441A00">
        <w:rPr>
          <w:rStyle w:val="af0"/>
          <w:bCs/>
          <w:kern w:val="2"/>
          <w:sz w:val="26"/>
          <w:szCs w:val="26"/>
        </w:rPr>
        <w:t>В Челябинской области в ЕГРН внесены все 211 зон с особыми условиями использования территорий: 109 зон затопления и 102 зоны подтопления. Для региона это не просто выполнение федеральных требований, а практический инструмент, который позволяет муниципалитетам заранее исключать выделение участков под застройку в опасных зонах и минимизировать возможный ущерб от паводков; застройщикам иметь чёткое понимание, где строительство допустимо, а где — нет, и проектировать объекты с учётом установленных ограничений; гражданам — проверять участок перед покупкой или строительством, избегая финансовых потерь и риска.</w:t>
      </w:r>
    </w:p>
    <w:p w:rsidR="00441A00" w:rsidRPr="00441A00" w:rsidRDefault="00441A00" w:rsidP="00441A00">
      <w:pPr>
        <w:ind w:firstLine="709"/>
        <w:jc w:val="both"/>
        <w:rPr>
          <w:rFonts w:eastAsia="Calibri"/>
          <w:sz w:val="26"/>
          <w:szCs w:val="26"/>
          <w:lang w:val="ru" w:bidi="ar"/>
        </w:rPr>
      </w:pPr>
      <w:r w:rsidRPr="00441A00">
        <w:rPr>
          <w:rFonts w:eastAsia="Calibri"/>
          <w:i/>
          <w:sz w:val="26"/>
          <w:szCs w:val="26"/>
          <w:lang w:val="ru" w:bidi="ar"/>
        </w:rPr>
        <w:t xml:space="preserve">«Требования к использованию земельных участков в таких зонах строгие: либо запрет на капитальное строительство, либо предъявление особых условий к конструкциям. Для муниципалитетов наличие в реестре четких границ дает возможность грамотно планировать территорию под застройку, что помогает минимизировать последствия при возникновении чрезвычайных ситуаций», — </w:t>
      </w:r>
      <w:r w:rsidRPr="00441A00">
        <w:rPr>
          <w:rFonts w:eastAsia="Calibri"/>
          <w:sz w:val="26"/>
          <w:szCs w:val="26"/>
          <w:lang w:val="ru" w:bidi="ar"/>
        </w:rPr>
        <w:t xml:space="preserve">комментирует заместитель руководителя Управления Росреестра по Челябинской области </w:t>
      </w:r>
      <w:r w:rsidRPr="00441A00">
        <w:rPr>
          <w:rFonts w:eastAsia="Calibri"/>
          <w:b/>
          <w:sz w:val="26"/>
          <w:szCs w:val="26"/>
          <w:lang w:val="ru" w:bidi="ar"/>
        </w:rPr>
        <w:t>Евгений Бабич</w:t>
      </w:r>
      <w:r w:rsidRPr="00441A00">
        <w:rPr>
          <w:rFonts w:eastAsia="Calibri"/>
          <w:sz w:val="26"/>
          <w:szCs w:val="26"/>
          <w:lang w:val="ru" w:bidi="ar"/>
        </w:rPr>
        <w:t>.</w:t>
      </w:r>
    </w:p>
    <w:p w:rsidR="00441A00" w:rsidRPr="00441A00" w:rsidRDefault="00441A00" w:rsidP="00441A00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6"/>
          <w:szCs w:val="26"/>
        </w:rPr>
      </w:pPr>
      <w:r w:rsidRPr="00441A00">
        <w:rPr>
          <w:rStyle w:val="af0"/>
          <w:kern w:val="2"/>
          <w:sz w:val="26"/>
          <w:szCs w:val="26"/>
        </w:rPr>
        <w:t xml:space="preserve">Важно понимать разницу между двумя понятиями. </w:t>
      </w:r>
      <w:r w:rsidRPr="00441A00">
        <w:rPr>
          <w:rStyle w:val="af0"/>
          <w:bCs/>
          <w:kern w:val="2"/>
          <w:sz w:val="26"/>
          <w:szCs w:val="26"/>
        </w:rPr>
        <w:t>Затопление — это поступление воды сверху: разлив рек, обильные осадки, аварии на гидротехнических сооружениях. Такие события, как правило, происходят внезапно, носят кратковременный характер и могут привести к значительным разрушениям в зоне воздействия. Подтопление — подъём грунтовых вод снизу. Это процесс постепенный, связанный с природными особенностями территории или изменением гидрогеологической обстановки. Со временем избыточная влага разрушает фундаменты, портит подземные коммуникации и снижает срок службы зданий. И в том, и в другом случае законодательство устанавливает ограничения на использование земли, поскольку такие территории требуют особого подхода при любом виде хозяйственного освоения.</w:t>
      </w:r>
    </w:p>
    <w:p w:rsidR="00441A00" w:rsidRPr="00441A00" w:rsidRDefault="00441A00" w:rsidP="00441A00">
      <w:pPr>
        <w:ind w:firstLine="709"/>
        <w:jc w:val="both"/>
        <w:rPr>
          <w:rFonts w:eastAsia="Calibri"/>
          <w:sz w:val="26"/>
          <w:szCs w:val="26"/>
          <w:lang w:val="ru" w:bidi="ar"/>
        </w:rPr>
      </w:pPr>
      <w:r w:rsidRPr="00441A00">
        <w:rPr>
          <w:rFonts w:eastAsia="Calibri"/>
          <w:i/>
          <w:sz w:val="26"/>
          <w:szCs w:val="26"/>
          <w:lang w:val="ru" w:bidi="ar"/>
        </w:rPr>
        <w:t xml:space="preserve"> «В Челябинской области в ЕГРН внесены все 211 зон затопления и подтопления. Это значит, что каждый житель, покупатель недвижимости или застройщик может самостоятельно проверить, попадает ли конкретный участок в зону риска, с помощью сервиса «Карта НСПД» на Единой цифровой платформе «Национальная система пространственных данных» (</w:t>
      </w:r>
      <w:hyperlink r:id="rId7" w:history="1">
        <w:r w:rsidRPr="00441A00">
          <w:rPr>
            <w:rStyle w:val="a4"/>
            <w:rFonts w:eastAsia="Calibri"/>
            <w:i/>
            <w:sz w:val="26"/>
            <w:szCs w:val="26"/>
            <w:lang w:val="ru" w:bidi="ar"/>
          </w:rPr>
          <w:t>https://nspd.gov.ru/</w:t>
        </w:r>
      </w:hyperlink>
      <w:r w:rsidRPr="00441A00">
        <w:rPr>
          <w:rFonts w:eastAsia="Calibri"/>
          <w:i/>
          <w:sz w:val="26"/>
          <w:szCs w:val="26"/>
          <w:lang w:val="ru" w:bidi="ar"/>
        </w:rPr>
        <w:t xml:space="preserve">). Если же требуется официальный документ, необходимо заказать выписку из ЕГРН через портал Госуслуг или в любом офисе МФЦ, — </w:t>
      </w:r>
      <w:r w:rsidRPr="00441A00">
        <w:rPr>
          <w:rFonts w:eastAsia="Calibri"/>
          <w:sz w:val="26"/>
          <w:szCs w:val="26"/>
          <w:lang w:val="ru" w:bidi="ar"/>
        </w:rPr>
        <w:t xml:space="preserve">поясняет заместитель директора — главный технолог филиала ППК «Роскадастр» по Челябинской области </w:t>
      </w:r>
      <w:r w:rsidRPr="00441A00">
        <w:rPr>
          <w:rFonts w:eastAsia="Calibri"/>
          <w:b/>
          <w:bCs/>
          <w:sz w:val="26"/>
          <w:szCs w:val="26"/>
          <w:lang w:val="ru" w:bidi="ar"/>
        </w:rPr>
        <w:t>Анастасия Земляк</w:t>
      </w:r>
      <w:r w:rsidRPr="00441A00">
        <w:rPr>
          <w:rFonts w:eastAsia="Calibri"/>
          <w:sz w:val="26"/>
          <w:szCs w:val="26"/>
          <w:lang w:val="ru" w:bidi="ar"/>
        </w:rPr>
        <w:t xml:space="preserve">. — </w:t>
      </w:r>
      <w:r w:rsidRPr="00441A00">
        <w:rPr>
          <w:rFonts w:eastAsia="Calibri"/>
          <w:i/>
          <w:sz w:val="26"/>
          <w:szCs w:val="26"/>
          <w:lang w:val="ru" w:bidi="ar"/>
        </w:rPr>
        <w:t>В период весеннего половодья такая проверка становится не просто рекомендацией, а необходимой мерой предосторожности».</w:t>
      </w:r>
    </w:p>
    <w:p w:rsidR="00441A00" w:rsidRPr="00441A00" w:rsidRDefault="00441A00" w:rsidP="005E5A47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6"/>
          <w:szCs w:val="26"/>
          <w:lang w:val="ru"/>
        </w:rPr>
      </w:pPr>
    </w:p>
    <w:p w:rsidR="005E5A47" w:rsidRPr="00441A00" w:rsidRDefault="005E5A47" w:rsidP="005E5A47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6"/>
          <w:szCs w:val="26"/>
        </w:rPr>
      </w:pPr>
      <w:r w:rsidRPr="00441A00">
        <w:rPr>
          <w:rStyle w:val="af0"/>
          <w:bCs/>
          <w:kern w:val="2"/>
          <w:sz w:val="26"/>
          <w:szCs w:val="26"/>
        </w:rPr>
        <w:t>#РосреестрРазъясняет, #</w:t>
      </w:r>
      <w:proofErr w:type="spellStart"/>
      <w:r w:rsidRPr="00441A00">
        <w:rPr>
          <w:rStyle w:val="af0"/>
          <w:bCs/>
          <w:kern w:val="2"/>
          <w:sz w:val="26"/>
          <w:szCs w:val="26"/>
        </w:rPr>
        <w:t>РоскадастрЧелябинск</w:t>
      </w:r>
      <w:proofErr w:type="spellEnd"/>
      <w:r w:rsidRPr="00441A00">
        <w:rPr>
          <w:rStyle w:val="af0"/>
          <w:bCs/>
          <w:kern w:val="2"/>
          <w:sz w:val="26"/>
          <w:szCs w:val="26"/>
        </w:rPr>
        <w:t>, #РосреестрЧелябинск, #</w:t>
      </w:r>
      <w:proofErr w:type="spellStart"/>
      <w:r w:rsidRPr="00441A00">
        <w:rPr>
          <w:rStyle w:val="af0"/>
          <w:bCs/>
          <w:kern w:val="2"/>
          <w:sz w:val="26"/>
          <w:szCs w:val="26"/>
        </w:rPr>
        <w:t>ЗоныЗатопления</w:t>
      </w:r>
      <w:proofErr w:type="spellEnd"/>
      <w:r w:rsidRPr="00441A00">
        <w:rPr>
          <w:rStyle w:val="af0"/>
          <w:bCs/>
          <w:kern w:val="2"/>
          <w:sz w:val="26"/>
          <w:szCs w:val="26"/>
        </w:rPr>
        <w:t>, #</w:t>
      </w:r>
      <w:proofErr w:type="spellStart"/>
      <w:r w:rsidRPr="00441A00">
        <w:rPr>
          <w:rStyle w:val="af0"/>
          <w:bCs/>
          <w:kern w:val="2"/>
          <w:sz w:val="26"/>
          <w:szCs w:val="26"/>
        </w:rPr>
        <w:t>ЗоныПодтопления</w:t>
      </w:r>
      <w:proofErr w:type="spellEnd"/>
      <w:r w:rsidRPr="00441A00">
        <w:rPr>
          <w:rStyle w:val="af0"/>
          <w:bCs/>
          <w:kern w:val="2"/>
          <w:sz w:val="26"/>
          <w:szCs w:val="26"/>
        </w:rPr>
        <w:t>, #</w:t>
      </w:r>
      <w:r w:rsidRPr="00441A00">
        <w:rPr>
          <w:sz w:val="26"/>
          <w:szCs w:val="26"/>
        </w:rPr>
        <w:t xml:space="preserve"> </w:t>
      </w:r>
      <w:proofErr w:type="spellStart"/>
      <w:r w:rsidRPr="00441A00">
        <w:rPr>
          <w:rStyle w:val="af0"/>
          <w:bCs/>
          <w:kern w:val="2"/>
          <w:sz w:val="26"/>
          <w:szCs w:val="26"/>
        </w:rPr>
        <w:t>ЕвгенийБабич</w:t>
      </w:r>
      <w:proofErr w:type="spellEnd"/>
      <w:r w:rsidRPr="00441A00">
        <w:rPr>
          <w:rStyle w:val="af0"/>
          <w:bCs/>
          <w:kern w:val="2"/>
          <w:sz w:val="26"/>
          <w:szCs w:val="26"/>
        </w:rPr>
        <w:t>, #</w:t>
      </w:r>
      <w:proofErr w:type="spellStart"/>
      <w:r w:rsidRPr="00441A00">
        <w:rPr>
          <w:rStyle w:val="af0"/>
          <w:bCs/>
          <w:kern w:val="2"/>
          <w:sz w:val="26"/>
          <w:szCs w:val="26"/>
        </w:rPr>
        <w:t>АнастасияЗемляк</w:t>
      </w:r>
      <w:proofErr w:type="spellEnd"/>
    </w:p>
    <w:p w:rsidR="005E5A47" w:rsidRPr="00441A00" w:rsidRDefault="005E5A47" w:rsidP="005E5A47">
      <w:pPr>
        <w:tabs>
          <w:tab w:val="left" w:pos="4830"/>
        </w:tabs>
        <w:ind w:firstLine="709"/>
        <w:jc w:val="both"/>
        <w:rPr>
          <w:sz w:val="26"/>
          <w:szCs w:val="26"/>
        </w:rPr>
      </w:pPr>
    </w:p>
    <w:p w:rsidR="00EE1B46" w:rsidRPr="00441A00" w:rsidRDefault="005E5A47" w:rsidP="005E5A47">
      <w:pPr>
        <w:tabs>
          <w:tab w:val="left" w:pos="4830"/>
        </w:tabs>
        <w:jc w:val="right"/>
        <w:rPr>
          <w:sz w:val="26"/>
          <w:szCs w:val="26"/>
        </w:rPr>
      </w:pPr>
      <w:r w:rsidRPr="00441A00">
        <w:rPr>
          <w:rStyle w:val="af0"/>
          <w:b/>
          <w:bCs/>
          <w:kern w:val="2"/>
          <w:sz w:val="26"/>
          <w:szCs w:val="26"/>
          <w:shd w:val="clear" w:color="auto" w:fill="FFFFFF"/>
        </w:rPr>
        <w:t>Материал подготовлен пресс-службой Росреестра и Роскадастра по Челябинской области</w:t>
      </w:r>
    </w:p>
    <w:sectPr w:rsidR="00EE1B46" w:rsidRPr="00441A00" w:rsidSect="005E5A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566" w:bottom="426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6D" w:rsidRDefault="0025556D">
      <w:r>
        <w:separator/>
      </w:r>
    </w:p>
  </w:endnote>
  <w:endnote w:type="continuationSeparator" w:id="0">
    <w:p w:rsidR="0025556D" w:rsidRDefault="002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CC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los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Source Han Sans C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Inter">
    <w:altName w:val="Calibri"/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46" w:rsidRDefault="00EE1B4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46" w:rsidRDefault="00EE1B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6D" w:rsidRDefault="0025556D">
      <w:r>
        <w:separator/>
      </w:r>
    </w:p>
  </w:footnote>
  <w:footnote w:type="continuationSeparator" w:id="0">
    <w:p w:rsidR="0025556D" w:rsidRDefault="0025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46" w:rsidRDefault="00EE1B4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46" w:rsidRDefault="00EE1B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F0"/>
    <w:rsid w:val="000134B2"/>
    <w:rsid w:val="0005030E"/>
    <w:rsid w:val="000532AB"/>
    <w:rsid w:val="000707F3"/>
    <w:rsid w:val="000E4E99"/>
    <w:rsid w:val="000F3346"/>
    <w:rsid w:val="00120EC3"/>
    <w:rsid w:val="00136B67"/>
    <w:rsid w:val="00190EE8"/>
    <w:rsid w:val="001C4F1A"/>
    <w:rsid w:val="0025556D"/>
    <w:rsid w:val="002930A7"/>
    <w:rsid w:val="002D4D97"/>
    <w:rsid w:val="00306116"/>
    <w:rsid w:val="003417AB"/>
    <w:rsid w:val="003661FF"/>
    <w:rsid w:val="00396DEB"/>
    <w:rsid w:val="004176CC"/>
    <w:rsid w:val="00441A00"/>
    <w:rsid w:val="005023AB"/>
    <w:rsid w:val="005B39E2"/>
    <w:rsid w:val="005C2772"/>
    <w:rsid w:val="005E5A47"/>
    <w:rsid w:val="00632C80"/>
    <w:rsid w:val="00667BBA"/>
    <w:rsid w:val="006D4DAA"/>
    <w:rsid w:val="006E6200"/>
    <w:rsid w:val="007644E1"/>
    <w:rsid w:val="007765D6"/>
    <w:rsid w:val="007B0026"/>
    <w:rsid w:val="007D502A"/>
    <w:rsid w:val="00813C59"/>
    <w:rsid w:val="008678B7"/>
    <w:rsid w:val="008C37F0"/>
    <w:rsid w:val="008D5048"/>
    <w:rsid w:val="009B1DAC"/>
    <w:rsid w:val="009C5BE6"/>
    <w:rsid w:val="009F3508"/>
    <w:rsid w:val="00A11EDB"/>
    <w:rsid w:val="00A205BD"/>
    <w:rsid w:val="00A4681C"/>
    <w:rsid w:val="00A70AA3"/>
    <w:rsid w:val="00A949F4"/>
    <w:rsid w:val="00AF54D2"/>
    <w:rsid w:val="00B00E9E"/>
    <w:rsid w:val="00B2501B"/>
    <w:rsid w:val="00B502E8"/>
    <w:rsid w:val="00B51C8F"/>
    <w:rsid w:val="00BC4400"/>
    <w:rsid w:val="00BF23F8"/>
    <w:rsid w:val="00C3196F"/>
    <w:rsid w:val="00C333B9"/>
    <w:rsid w:val="00C75660"/>
    <w:rsid w:val="00C93AC4"/>
    <w:rsid w:val="00CA087C"/>
    <w:rsid w:val="00CA251E"/>
    <w:rsid w:val="00CC7E41"/>
    <w:rsid w:val="00D17BF0"/>
    <w:rsid w:val="00D879A2"/>
    <w:rsid w:val="00DB2903"/>
    <w:rsid w:val="00E669A9"/>
    <w:rsid w:val="00EE1B46"/>
    <w:rsid w:val="00EF09FA"/>
    <w:rsid w:val="00EF21AE"/>
    <w:rsid w:val="00F00D0A"/>
    <w:rsid w:val="00F207B1"/>
    <w:rsid w:val="00F2638A"/>
    <w:rsid w:val="00F26A7A"/>
    <w:rsid w:val="00F76640"/>
    <w:rsid w:val="00FC4AB3"/>
    <w:rsid w:val="016241EE"/>
    <w:rsid w:val="7B88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A634259D-07CD-41FF-A302-8D7A7290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qFormat/>
    <w:rPr>
      <w:rFonts w:ascii="Segoe UI" w:hAnsi="Segoe UI"/>
      <w:sz w:val="18"/>
      <w:szCs w:val="18"/>
    </w:rPr>
  </w:style>
  <w:style w:type="paragraph" w:styleId="a7">
    <w:name w:val="endnote text"/>
    <w:basedOn w:val="a"/>
    <w:qFormat/>
    <w:rPr>
      <w:sz w:val="20"/>
      <w:szCs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a">
    <w:name w:val="header"/>
    <w:basedOn w:val="ab"/>
    <w:qFormat/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footer"/>
    <w:basedOn w:val="ab"/>
    <w:qFormat/>
  </w:style>
  <w:style w:type="paragraph" w:styleId="ae">
    <w:name w:val="List"/>
    <w:basedOn w:val="ac"/>
    <w:qFormat/>
    <w:rPr>
      <w:rFonts w:ascii="PT Sans" w:hAnsi="PT Sans" w:cs="Noto Sans Devanagari"/>
    </w:rPr>
  </w:style>
  <w:style w:type="paragraph" w:styleId="af">
    <w:name w:val="Normal (Web)"/>
    <w:basedOn w:val="a"/>
    <w:qFormat/>
    <w:pPr>
      <w:suppressAutoHyphens w:val="0"/>
      <w:spacing w:before="100" w:after="100"/>
    </w:pPr>
    <w:rPr>
      <w:rFonts w:eastAsia="Times New Roman"/>
      <w:color w:val="000000"/>
    </w:rPr>
  </w:style>
  <w:style w:type="character" w:customStyle="1" w:styleId="WW8Num1z0">
    <w:name w:val="WW8Num1z0"/>
    <w:qFormat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qFormat/>
    <w:rPr>
      <w:rFonts w:ascii="Wingdings" w:hAnsi="Wingdings" w:cs="Wingdings" w:hint="default"/>
    </w:rPr>
  </w:style>
  <w:style w:type="character" w:customStyle="1" w:styleId="WW8Num2z0">
    <w:name w:val="WW8Num2z0"/>
    <w:qFormat/>
    <w:rPr>
      <w:rFonts w:hint="default"/>
    </w:rPr>
  </w:style>
  <w:style w:type="character" w:customStyle="1" w:styleId="WW8Num3z0">
    <w:name w:val="WW8Num3z0"/>
    <w:qFormat/>
    <w:rPr>
      <w:rFonts w:hint="default"/>
    </w:rPr>
  </w:style>
  <w:style w:type="character" w:customStyle="1" w:styleId="WW8Num4z0">
    <w:name w:val="WW8Num4z0"/>
    <w:qFormat/>
    <w:rPr>
      <w:rFonts w:ascii="Symbol" w:hAnsi="Symbol" w:cs="Symbol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5z0">
    <w:name w:val="WW8Num5z0"/>
    <w:qFormat/>
    <w:rPr>
      <w:rFonts w:ascii="Symbol" w:hAnsi="Symbol" w:cs="Symbol" w:hint="default"/>
    </w:rPr>
  </w:style>
  <w:style w:type="character" w:customStyle="1" w:styleId="WW8Num5z1">
    <w:name w:val="WW8Num5z1"/>
    <w:qFormat/>
    <w:rPr>
      <w:rFonts w:ascii="Courier New" w:hAnsi="Courier New" w:cs="Courier New" w:hint="default"/>
    </w:rPr>
  </w:style>
  <w:style w:type="character" w:customStyle="1" w:styleId="WW8Num5z2">
    <w:name w:val="WW8Num5z2"/>
    <w:qFormat/>
    <w:rPr>
      <w:rFonts w:ascii="Wingdings" w:hAnsi="Wingdings" w:cs="Wingdings"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7z0">
    <w:name w:val="WW8Num7z0"/>
    <w:qFormat/>
    <w:rPr>
      <w:rFonts w:ascii="Symbol" w:hAnsi="Symbol" w:cs="Symbol" w:hint="default"/>
    </w:rPr>
  </w:style>
  <w:style w:type="character" w:customStyle="1" w:styleId="WW8Num7z1">
    <w:name w:val="WW8Num7z1"/>
    <w:qFormat/>
    <w:rPr>
      <w:rFonts w:ascii="Courier New" w:hAnsi="Courier New" w:cs="Courier New" w:hint="default"/>
    </w:rPr>
  </w:style>
  <w:style w:type="character" w:customStyle="1" w:styleId="WW8Num7z2">
    <w:name w:val="WW8Num7z2"/>
    <w:qFormat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qFormat/>
    <w:rPr>
      <w:rFonts w:ascii="Wingdings" w:hAnsi="Wingdings" w:cs="Wingdings" w:hint="default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13">
    <w:name w:val="Основной шрифт абзаца13"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2"/>
    <w:qFormat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110">
    <w:name w:val="Основной шрифт абзаца11"/>
    <w:qFormat/>
  </w:style>
  <w:style w:type="character" w:customStyle="1" w:styleId="WW8Num8z0">
    <w:name w:val="WW8Num8z0"/>
    <w:qFormat/>
    <w:rPr>
      <w:rFonts w:ascii="Symbol" w:hAnsi="Symbol" w:cs="Symbol" w:hint="default"/>
    </w:rPr>
  </w:style>
  <w:style w:type="character" w:customStyle="1" w:styleId="WW8Num8z1">
    <w:name w:val="WW8Num8z1"/>
    <w:qFormat/>
    <w:rPr>
      <w:rFonts w:ascii="Courier New" w:hAnsi="Courier New" w:cs="Courier New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hint="default"/>
    </w:rPr>
  </w:style>
  <w:style w:type="character" w:customStyle="1" w:styleId="100">
    <w:name w:val="Основной шрифт абзаца10"/>
    <w:qFormat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5">
    <w:name w:val="Основной шрифт абзаца1"/>
  </w:style>
  <w:style w:type="character" w:customStyle="1" w:styleId="af0">
    <w:name w:val="Нет"/>
    <w:qFormat/>
  </w:style>
  <w:style w:type="character" w:customStyle="1" w:styleId="20">
    <w:name w:val="Основной текст (2)_"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qFormat/>
    <w:rPr>
      <w:rFonts w:eastAsia="Arial Unicode MS" w:cs="Arial Unicode MS"/>
      <w:color w:val="000000"/>
      <w:lang w:eastAsia="zh-CN"/>
    </w:rPr>
  </w:style>
  <w:style w:type="character" w:customStyle="1" w:styleId="af2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3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7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  <w:qFormat/>
  </w:style>
  <w:style w:type="character" w:customStyle="1" w:styleId="articlelayerstatbtn">
    <w:name w:val="article_layer__stat_btn"/>
    <w:qFormat/>
  </w:style>
  <w:style w:type="character" w:customStyle="1" w:styleId="50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5">
    <w:name w:val="Символ концевой сноски"/>
    <w:qFormat/>
    <w:rPr>
      <w:vertAlign w:val="superscript"/>
    </w:rPr>
  </w:style>
  <w:style w:type="paragraph" w:customStyle="1" w:styleId="af6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0">
    <w:name w:val="Указатель14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30">
    <w:name w:val="Название объекта1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qFormat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1">
    <w:name w:val="Указатель1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qFormat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Lucida 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52">
    <w:name w:val="Указатель5"/>
    <w:basedOn w:val="a"/>
    <w:qFormat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a">
    <w:name w:val="Указатель1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7">
    <w:name w:val="Верхн./нижн. кол."/>
    <w:qFormat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BodyText1">
    <w:name w:val="Body Text1"/>
    <w:qFormat/>
    <w:pPr>
      <w:suppressAutoHyphens/>
      <w:spacing w:after="140" w:line="288" w:lineRule="auto"/>
    </w:pPr>
    <w:rPr>
      <w:color w:val="000000"/>
      <w:sz w:val="24"/>
      <w:szCs w:val="24"/>
      <w:lang w:eastAsia="zh-CN"/>
    </w:rPr>
  </w:style>
  <w:style w:type="paragraph" w:customStyle="1" w:styleId="1b">
    <w:name w:val="Обычный (веб)1"/>
    <w:qFormat/>
    <w:pPr>
      <w:suppressAutoHyphens/>
      <w:spacing w:after="96" w:line="252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customStyle="1" w:styleId="western">
    <w:name w:val="western"/>
    <w:basedOn w:val="a"/>
    <w:qFormat/>
    <w:pPr>
      <w:suppressAutoHyphens w:val="0"/>
      <w:spacing w:before="100" w:after="142" w:line="288" w:lineRule="auto"/>
    </w:pPr>
    <w:rPr>
      <w:rFonts w:eastAsia="Times New Roman"/>
      <w:color w:val="00000A"/>
    </w:rPr>
  </w:style>
  <w:style w:type="paragraph" w:customStyle="1" w:styleId="1c">
    <w:name w:val="Без интервала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qFormat/>
    <w:pPr>
      <w:suppressAutoHyphens/>
      <w:autoSpaceDE w:val="0"/>
    </w:pPr>
    <w:rPr>
      <w:rFonts w:ascii="Golos" w:hAnsi="Golos" w:cs="Golos"/>
      <w:color w:val="000000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  <w:jc w:val="both"/>
      <w:textAlignment w:val="auto"/>
    </w:pPr>
    <w:rPr>
      <w:rFonts w:ascii="PT Astra Serif" w:eastAsia="Source Han Sans CN Regular" w:hAnsi="PT Astra Serif" w:cs="PT Astra Serif"/>
      <w:sz w:val="28"/>
      <w:szCs w:val="24"/>
    </w:rPr>
  </w:style>
  <w:style w:type="paragraph" w:customStyle="1" w:styleId="24">
    <w:name w:val="Текст примечания2"/>
    <w:basedOn w:val="a"/>
    <w:qFormat/>
    <w:rPr>
      <w:sz w:val="20"/>
      <w:szCs w:val="20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rFonts w:eastAsia="Times New Roman"/>
      <w:color w:val="000000"/>
      <w:kern w:val="2"/>
      <w:sz w:val="16"/>
      <w:szCs w:val="16"/>
    </w:rPr>
  </w:style>
  <w:style w:type="paragraph" w:customStyle="1" w:styleId="no-indent">
    <w:name w:val="no-indent"/>
    <w:basedOn w:val="a"/>
    <w:qFormat/>
    <w:pPr>
      <w:spacing w:before="100" w:after="100"/>
    </w:pPr>
  </w:style>
  <w:style w:type="character" w:customStyle="1" w:styleId="10">
    <w:name w:val="Заголовок 1 Знак"/>
    <w:link w:val="1"/>
    <w:uiPriority w:val="9"/>
    <w:qFormat/>
    <w:rPr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s-markdown-cite">
    <w:name w:val="ds-markdown-ci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pd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2870</Characters>
  <Application>Microsoft Office Word</Application>
  <DocSecurity>0</DocSecurity>
  <Lines>23</Lines>
  <Paragraphs>6</Paragraphs>
  <ScaleCrop>false</ScaleCrop>
  <Company>Microsoft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Шишкина Лариса</cp:lastModifiedBy>
  <cp:revision>7</cp:revision>
  <cp:lastPrinted>2024-12-17T06:24:00Z</cp:lastPrinted>
  <dcterms:created xsi:type="dcterms:W3CDTF">2026-03-26T11:43:00Z</dcterms:created>
  <dcterms:modified xsi:type="dcterms:W3CDTF">2026-03-27T06:16:00Z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��������������� ������ 4022.00.21</vt:lpwstr>
  </property>
  <property fmtid="{D5CDD505-2E9C-101B-9397-08002B2CF9AE}" pid="3" name="KSOProductBuildVer">
    <vt:lpwstr>1049-12.2.0.23196</vt:lpwstr>
  </property>
  <property fmtid="{D5CDD505-2E9C-101B-9397-08002B2CF9AE}" pid="4" name="ICV">
    <vt:lpwstr>9FF2A26577B646BC8D3CF2DE410FE4C8_13</vt:lpwstr>
  </property>
</Properties>
</file>