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i/>
          <w:i/>
          <w:color w:val="C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C00000"/>
          <w:sz w:val="28"/>
          <w:szCs w:val="28"/>
          <w:lang w:eastAsia="ru-RU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textAlignment w:val="baseline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textAlignment w:val="baseline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textAlignment w:val="baseline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  <w:t>ЮУТПП объявляет о старте конкурса Национальной премии в области предпринимательской деятельности «Золотой Меркурий»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textAlignment w:val="baseline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  <w:t>по итогам 2025 года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BodyText"/>
        <w:widowControl w:val="false"/>
        <w:tabs>
          <w:tab w:val="clear" w:pos="708"/>
          <w:tab w:val="left" w:pos="851" w:leader="none"/>
          <w:tab w:val="left" w:pos="1134" w:leader="none"/>
          <w:tab w:val="left" w:pos="1276" w:leader="none"/>
        </w:tabs>
        <w:spacing w:before="0" w:after="0"/>
        <w:ind w:firstLine="567" w:right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Конкурс ежегодно проводится ТПП РФ при поддержке Совета Федерации и Государственной Думы ФС РФ. К участию в конкурсе приглашаются российские предприятия, относящиеся к субъектам микро, малого, среднего предпринимательства, а также крупные экспортно-ориентированные компании.</w:t>
      </w:r>
    </w:p>
    <w:p>
      <w:pPr>
        <w:pStyle w:val="BodyText"/>
        <w:widowControl w:val="false"/>
        <w:tabs>
          <w:tab w:val="clear" w:pos="708"/>
          <w:tab w:val="left" w:pos="851" w:leader="none"/>
          <w:tab w:val="left" w:pos="1134" w:leader="none"/>
          <w:tab w:val="left" w:pos="1276" w:leader="none"/>
        </w:tabs>
        <w:spacing w:before="0" w:after="0"/>
        <w:ind w:firstLine="567" w:right="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 проводится на безвозмездной основе. Участники конкурса не платят взносы и не несут расходы на экспертизу. </w:t>
      </w:r>
    </w:p>
    <w:p>
      <w:pPr>
        <w:pStyle w:val="BodyText"/>
        <w:widowControl w:val="false"/>
        <w:tabs>
          <w:tab w:val="clear" w:pos="708"/>
          <w:tab w:val="left" w:pos="851" w:leader="none"/>
          <w:tab w:val="left" w:pos="1134" w:leader="none"/>
          <w:tab w:val="left" w:pos="1276" w:leader="none"/>
        </w:tabs>
        <w:spacing w:before="0" w:after="0"/>
        <w:ind w:firstLine="567" w:right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widowControl w:val="false"/>
        <w:tabs>
          <w:tab w:val="clear" w:pos="708"/>
          <w:tab w:val="left" w:pos="851" w:leader="none"/>
          <w:tab w:val="left" w:pos="1134" w:leader="none"/>
          <w:tab w:val="left" w:pos="1276" w:leader="none"/>
        </w:tabs>
        <w:spacing w:before="0" w:after="0"/>
        <w:ind w:firstLine="567" w:right="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конкурса определен Стандартом проведения конкурса Национальной премии в области предпринимательской деятельности Золотой Меркурий», утвержденном постановлением Правления ТПП РФ от 19.12.2024 № 351-34.</w:t>
      </w:r>
    </w:p>
    <w:p>
      <w:pPr>
        <w:pStyle w:val="BodyText"/>
        <w:widowControl w:val="false"/>
        <w:tabs>
          <w:tab w:val="clear" w:pos="708"/>
          <w:tab w:val="left" w:pos="1134" w:leader="none"/>
          <w:tab w:val="left" w:pos="1276" w:leader="none"/>
          <w:tab w:val="left" w:pos="1418" w:leader="none"/>
        </w:tabs>
        <w:spacing w:before="0" w:after="0"/>
        <w:ind w:firstLine="567" w:right="3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Стандарт, условия отбора, методические материалы размещены на сайте конкурса: </w:t>
      </w:r>
      <w:hyperlink r:id="rId2">
        <w:r>
          <w:rPr>
            <w:rStyle w:val="Hyperlink"/>
            <w:sz w:val="28"/>
            <w:szCs w:val="28"/>
          </w:rPr>
          <w:t>https://goldmercury.ru/usloviya/</w:t>
        </w:r>
      </w:hyperlink>
      <w:r>
        <w:rPr>
          <w:sz w:val="28"/>
          <w:szCs w:val="28"/>
        </w:rPr>
        <w:t xml:space="preserve">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Times New Roman" w:cs="Times New Roman"/>
          <w:b/>
          <w:color w:val="0070C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70C0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firstLine="567"/>
        <w:contextualSpacing/>
        <w:jc w:val="both"/>
        <w:textAlignment w:val="baseline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Установлены следующие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основные номинации </w:t>
      </w:r>
      <w:r>
        <w:rPr>
          <w:rFonts w:cs="Times New Roman" w:ascii="Times New Roman" w:hAnsi="Times New Roman"/>
          <w:color w:val="000000"/>
          <w:sz w:val="28"/>
          <w:szCs w:val="28"/>
        </w:rPr>
        <w:t>Конкурса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: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«Лучшее предприятие малого и среднего бизнеса»: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ind w:firstLine="567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сфере промышленного производства;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ind w:firstLine="567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сфере строительства;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ind w:firstLine="567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сфере производства потребительской продукции;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ind w:firstLine="567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сфере услуг;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ind w:firstLine="567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агропромышленном комплексе;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ind w:firstLine="567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сфере инновационной деятельности;</w:t>
      </w:r>
    </w:p>
    <w:p>
      <w:pPr>
        <w:pStyle w:val="Normal"/>
        <w:widowControl w:val="false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«Лучшее предприятие-экспортер»: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  <w:tab w:val="left" w:pos="993" w:leader="none"/>
        </w:tabs>
        <w:ind w:firstLine="567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сфере промышленного производства;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  <w:tab w:val="left" w:pos="993" w:leader="none"/>
        </w:tabs>
        <w:ind w:firstLine="567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сфере производства потребительской продукции;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  <w:tab w:val="left" w:pos="993" w:leader="none"/>
        </w:tabs>
        <w:ind w:firstLine="567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сфере услуг;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  <w:tab w:val="left" w:pos="993" w:leader="none"/>
        </w:tabs>
        <w:ind w:firstLine="567" w:left="0"/>
        <w:jc w:val="both"/>
        <w:rPr>
          <w:bCs/>
          <w:i/>
          <w:i/>
          <w:sz w:val="28"/>
          <w:szCs w:val="28"/>
        </w:rPr>
      </w:pPr>
      <w:r>
        <w:rPr>
          <w:bCs/>
          <w:sz w:val="28"/>
          <w:szCs w:val="28"/>
        </w:rPr>
        <w:t>в сфере инновационной деятельности</w:t>
      </w:r>
      <w:r>
        <w:rPr>
          <w:i/>
          <w:sz w:val="28"/>
          <w:szCs w:val="28"/>
        </w:rPr>
        <w:t>.</w:t>
      </w:r>
    </w:p>
    <w:p>
      <w:pPr>
        <w:pStyle w:val="Normal"/>
        <w:widowControl w:val="false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«Лучшее семейное предприятие России».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Установлены следующие </w:t>
      </w:r>
      <w:hyperlink r:id="rId3">
        <w:r>
          <w:rPr>
            <w:rStyle w:val="Style8"/>
            <w:rFonts w:cs="Times New Roman" w:ascii="Times New Roman" w:hAnsi="Times New Roman"/>
            <w:b/>
            <w:bCs/>
            <w:iCs/>
            <w:color w:val="000000"/>
            <w:sz w:val="28"/>
            <w:szCs w:val="28"/>
            <w:shd w:fill="FFFFFF" w:val="clear"/>
          </w:rPr>
          <w:t>специальные номинации</w:t>
        </w:r>
      </w:hyperlink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 xml:space="preserve">федерального этапа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Конкурса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:</w:t>
      </w:r>
    </w:p>
    <w:p>
      <w:pPr>
        <w:pStyle w:val="Normal"/>
        <w:widowControl w:val="false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«За вклад в сохранение и развитие народных художественных промыслов России»;</w:t>
      </w:r>
    </w:p>
    <w:p>
      <w:pPr>
        <w:pStyle w:val="Normal"/>
        <w:widowControl w:val="false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«Лучшая банковская программа для МСП»;</w:t>
      </w:r>
    </w:p>
    <w:p>
      <w:pPr>
        <w:pStyle w:val="Normal"/>
        <w:widowControl w:val="false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«Устремленные в будущее»;</w:t>
      </w:r>
    </w:p>
    <w:p>
      <w:pPr>
        <w:pStyle w:val="Normal"/>
        <w:widowControl w:val="false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«Лучший эксперт системы торгово-промышленных палат в Российской Федерации»;</w:t>
      </w:r>
    </w:p>
    <w:p>
      <w:pPr>
        <w:pStyle w:val="Normal"/>
        <w:widowControl w:val="false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«Лучшая торгово-промышленная палата в сфере экспертной деятельности».</w:t>
      </w:r>
    </w:p>
    <w:p>
      <w:pPr>
        <w:pStyle w:val="ListParagraph"/>
        <w:tabs>
          <w:tab w:val="clear" w:pos="708"/>
          <w:tab w:val="left" w:pos="851" w:leader="none"/>
        </w:tabs>
        <w:ind w:firstLine="567" w:left="0" w:right="3"/>
        <w:jc w:val="both"/>
        <w:rPr>
          <w:b/>
          <w:sz w:val="28"/>
          <w:szCs w:val="28"/>
        </w:rPr>
      </w:pPr>
      <w:r>
        <w:rPr>
          <w:sz w:val="28"/>
          <w:szCs w:val="28"/>
        </w:rPr>
        <w:t>«Демонстрируем будущее – инновационный прорыв на выставке»</w:t>
      </w:r>
      <w:r>
        <w:rPr>
          <w:b/>
          <w:sz w:val="28"/>
          <w:szCs w:val="28"/>
        </w:rPr>
        <w:t>.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  <w:shd w:fill="FFFFFF" w:val="clear"/>
        </w:rPr>
        <w:t>Конкурс состоит из следующих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  <w:shd w:fill="FFFFFF" w:val="clear"/>
        </w:rPr>
        <w:t xml:space="preserve"> основных этапов:</w:t>
      </w:r>
    </w:p>
    <w:p>
      <w:pPr>
        <w:pStyle w:val="BodyText"/>
        <w:widowControl w:val="false"/>
        <w:numPr>
          <w:ilvl w:val="0"/>
          <w:numId w:val="3"/>
        </w:numPr>
        <w:tabs>
          <w:tab w:val="clear" w:pos="708"/>
          <w:tab w:val="left" w:pos="993" w:leader="none"/>
          <w:tab w:val="left" w:pos="1276" w:leader="none"/>
        </w:tabs>
        <w:spacing w:before="0" w:after="0"/>
        <w:ind w:firstLine="567" w:left="0" w:right="3"/>
        <w:contextualSpacing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Региональный этап 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проводится</w:t>
      </w:r>
      <w:r>
        <w:rPr>
          <w:color w:val="000000"/>
          <w:spacing w:val="1"/>
          <w:sz w:val="28"/>
          <w:szCs w:val="28"/>
        </w:rPr>
        <w:t xml:space="preserve"> Южно-Уральской </w:t>
      </w:r>
      <w:r>
        <w:rPr>
          <w:color w:val="000000"/>
          <w:sz w:val="28"/>
          <w:szCs w:val="28"/>
        </w:rPr>
        <w:t>торгово-промышленной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палатой с января по апрель 2026 года.</w:t>
      </w:r>
    </w:p>
    <w:p>
      <w:pPr>
        <w:pStyle w:val="BodyText"/>
        <w:widowControl w:val="false"/>
        <w:tabs>
          <w:tab w:val="clear" w:pos="708"/>
          <w:tab w:val="left" w:pos="993" w:leader="none"/>
          <w:tab w:val="left" w:pos="1276" w:leader="none"/>
        </w:tabs>
        <w:spacing w:before="0" w:after="0"/>
        <w:ind w:firstLine="567" w:right="3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Срок сбора заявок от потенциальных участников конкурса: </w:t>
        <w:br/>
      </w:r>
      <w:r>
        <w:rPr>
          <w:b/>
          <w:color w:val="000000"/>
          <w:sz w:val="28"/>
          <w:szCs w:val="28"/>
        </w:rPr>
        <w:t>до</w:t>
      </w:r>
      <w:r>
        <w:rPr>
          <w:b/>
          <w:color w:val="000000"/>
          <w:spacing w:val="1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15</w:t>
      </w:r>
      <w:r>
        <w:rPr>
          <w:b/>
          <w:color w:val="000000"/>
          <w:spacing w:val="1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марта</w:t>
      </w:r>
      <w:r>
        <w:rPr>
          <w:b/>
          <w:color w:val="000000"/>
          <w:spacing w:val="1"/>
          <w:sz w:val="28"/>
          <w:szCs w:val="28"/>
        </w:rPr>
        <w:t xml:space="preserve"> 2026 </w:t>
      </w:r>
      <w:r>
        <w:rPr>
          <w:b/>
          <w:color w:val="000000"/>
          <w:sz w:val="28"/>
          <w:szCs w:val="28"/>
        </w:rPr>
        <w:t>года.</w:t>
      </w:r>
      <w:r>
        <w:rPr>
          <w:rStyle w:val="Style15"/>
          <w:sz w:val="28"/>
          <w:szCs w:val="28"/>
        </w:rPr>
        <w:t xml:space="preserve"> </w:t>
      </w:r>
      <w:r>
        <w:rPr>
          <w:rStyle w:val="FootnoteReference"/>
          <w:sz w:val="28"/>
          <w:szCs w:val="28"/>
        </w:rPr>
        <w:footnoteReference w:id="2"/>
      </w:r>
    </w:p>
    <w:p>
      <w:pPr>
        <w:pStyle w:val="BodyText"/>
        <w:widowControl w:val="false"/>
        <w:numPr>
          <w:ilvl w:val="0"/>
          <w:numId w:val="3"/>
        </w:numPr>
        <w:tabs>
          <w:tab w:val="clear" w:pos="708"/>
          <w:tab w:val="left" w:pos="993" w:leader="none"/>
          <w:tab w:val="left" w:pos="1276" w:leader="none"/>
        </w:tabs>
        <w:spacing w:before="0" w:after="0"/>
        <w:ind w:firstLine="567" w:left="0" w:right="3"/>
        <w:contextualSpacing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Федеральный этап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проводится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Торгово-промышленной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палатой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Российской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Федерации с апреля по июнь 2026 года. </w:t>
      </w:r>
    </w:p>
    <w:p>
      <w:pPr>
        <w:pStyle w:val="BodyText"/>
        <w:widowControl w:val="false"/>
        <w:tabs>
          <w:tab w:val="clear" w:pos="708"/>
          <w:tab w:val="left" w:pos="993" w:leader="none"/>
          <w:tab w:val="left" w:pos="1276" w:leader="none"/>
        </w:tabs>
        <w:spacing w:before="0" w:after="0"/>
        <w:ind w:firstLine="567" w:right="3"/>
        <w:contextualSpacing/>
        <w:jc w:val="both"/>
        <w:rPr>
          <w:b/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направления заявок победителей регионального этапа на участие в федеральном этапе конкурса: </w:t>
      </w:r>
      <w:r>
        <w:rPr>
          <w:b/>
          <w:color w:val="000000"/>
          <w:sz w:val="28"/>
          <w:szCs w:val="28"/>
        </w:rPr>
        <w:t>до</w:t>
      </w:r>
      <w:r>
        <w:rPr>
          <w:b/>
          <w:color w:val="000000"/>
          <w:spacing w:val="1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10 апреля</w:t>
      </w:r>
      <w:r>
        <w:rPr>
          <w:b/>
          <w:color w:val="000000"/>
          <w:spacing w:val="1"/>
          <w:sz w:val="28"/>
          <w:szCs w:val="28"/>
        </w:rPr>
        <w:t xml:space="preserve"> 2026 года.</w:t>
      </w:r>
    </w:p>
    <w:p>
      <w:pPr>
        <w:pStyle w:val="BodyText"/>
        <w:widowControl w:val="false"/>
        <w:tabs>
          <w:tab w:val="clear" w:pos="708"/>
          <w:tab w:val="left" w:pos="993" w:leader="none"/>
          <w:tab w:val="left" w:pos="1276" w:leader="none"/>
        </w:tabs>
        <w:spacing w:before="0" w:after="0"/>
        <w:ind w:firstLine="567" w:right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widowControl w:val="false"/>
        <w:tabs>
          <w:tab w:val="clear" w:pos="708"/>
          <w:tab w:val="left" w:pos="1134" w:leader="none"/>
          <w:tab w:val="left" w:pos="1276" w:leader="none"/>
          <w:tab w:val="left" w:pos="1418" w:leader="none"/>
        </w:tabs>
        <w:spacing w:before="0" w:after="0"/>
        <w:ind w:firstLine="567" w:right="3"/>
        <w:contextualSpacing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Порядок подачи:</w:t>
      </w:r>
    </w:p>
    <w:p>
      <w:pPr>
        <w:pStyle w:val="BodyText"/>
        <w:widowControl w:val="false"/>
        <w:tabs>
          <w:tab w:val="clear" w:pos="708"/>
          <w:tab w:val="left" w:pos="1134" w:leader="none"/>
          <w:tab w:val="left" w:pos="1276" w:leader="none"/>
          <w:tab w:val="left" w:pos="1418" w:leader="none"/>
        </w:tabs>
        <w:spacing w:before="0" w:after="0"/>
        <w:ind w:firstLine="567" w:right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Заявки на участие в конкурсе</w:t>
      </w:r>
      <w:r>
        <w:rPr>
          <w:rStyle w:val="FootnoteReference"/>
          <w:sz w:val="28"/>
          <w:szCs w:val="28"/>
        </w:rPr>
        <w:footnoteReference w:id="3"/>
      </w:r>
      <w:r>
        <w:rPr>
          <w:sz w:val="28"/>
          <w:szCs w:val="28"/>
        </w:rPr>
        <w:t xml:space="preserve"> подаются потенциальными участниками конкурса через цифровой сервис «Золотой Меркурий», ссылка на который размещена на официальном сайте конкурса в разделе «Условия»: </w:t>
      </w:r>
      <w:hyperlink r:id="rId4">
        <w:r>
          <w:rPr>
            <w:rStyle w:val="Hyperlink"/>
            <w:sz w:val="28"/>
            <w:szCs w:val="28"/>
          </w:rPr>
          <w:t>https://goldmercury.ru/usloviya/</w:t>
        </w:r>
      </w:hyperlink>
      <w:r>
        <w:rPr>
          <w:sz w:val="28"/>
          <w:szCs w:val="28"/>
        </w:rPr>
        <w:t xml:space="preserve">. 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Для подачи заявки заявителю от лица потенциального участника конкурса необходимо пройти </w:t>
      </w:r>
      <w:hyperlink r:id="rId5" w:tgtFrame="_blank">
        <w:r>
          <w:rPr>
            <w:rStyle w:val="Hyperlink"/>
            <w:rFonts w:cs="Times New Roman" w:ascii="Times New Roman" w:hAnsi="Times New Roman"/>
            <w:color w:val="0070C0"/>
            <w:sz w:val="28"/>
            <w:szCs w:val="28"/>
            <w:shd w:fill="FFFFFF" w:val="clear"/>
          </w:rPr>
          <w:t>регистрацию в «личном кабинете»</w:t>
        </w:r>
      </w:hyperlink>
      <w:r>
        <w:rPr>
          <w:rFonts w:cs="Times New Roman" w:ascii="Times New Roman" w:hAnsi="Times New Roman"/>
          <w:color w:val="0070C0"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на сайте ТПП РФ, в разделе </w:t>
      </w:r>
      <w:r>
        <w:rPr>
          <w:rFonts w:cs="Times New Roman" w:ascii="Times New Roman" w:hAnsi="Times New Roman"/>
          <w:color w:val="0070C0"/>
          <w:sz w:val="28"/>
          <w:szCs w:val="28"/>
          <w:shd w:fill="FFFFFF" w:val="clear"/>
        </w:rPr>
        <w:t>«</w:t>
      </w:r>
      <w:hyperlink r:id="rId6" w:tgtFrame="_blank">
        <w:r>
          <w:rPr>
            <w:rStyle w:val="Hyperlink"/>
            <w:rFonts w:cs="Times New Roman" w:ascii="Times New Roman" w:hAnsi="Times New Roman"/>
            <w:color w:val="0070C0"/>
            <w:sz w:val="28"/>
            <w:szCs w:val="28"/>
            <w:shd w:fill="FFFFFF" w:val="clear"/>
          </w:rPr>
          <w:t>Услуги</w:t>
        </w:r>
      </w:hyperlink>
      <w:r>
        <w:rPr>
          <w:rFonts w:cs="Times New Roman" w:ascii="Times New Roman" w:hAnsi="Times New Roman"/>
          <w:color w:val="0070C0"/>
          <w:sz w:val="28"/>
          <w:szCs w:val="28"/>
          <w:shd w:fill="FFFFFF" w:val="clear"/>
        </w:rPr>
        <w:t xml:space="preserve">»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личного кабинета выбрать услугу по желаемой номинации конкурса национальной премии «Золотой Меркурий» и подать заявку. После подачи заявки ее статус можно отслеживать в разделе  </w:t>
      </w:r>
      <w:r>
        <w:rPr>
          <w:rFonts w:cs="Times New Roman" w:ascii="Times New Roman" w:hAnsi="Times New Roman"/>
          <w:color w:val="0070C0"/>
          <w:sz w:val="28"/>
          <w:szCs w:val="28"/>
          <w:shd w:fill="FFFFFF" w:val="clear"/>
        </w:rPr>
        <w:t>«</w:t>
      </w:r>
      <w:hyperlink r:id="rId7" w:tgtFrame="_blank">
        <w:r>
          <w:rPr>
            <w:rStyle w:val="Hyperlink"/>
            <w:rFonts w:cs="Times New Roman" w:ascii="Times New Roman" w:hAnsi="Times New Roman"/>
            <w:color w:val="0070C0"/>
            <w:sz w:val="28"/>
            <w:szCs w:val="28"/>
            <w:shd w:fill="FFFFFF" w:val="clear"/>
          </w:rPr>
          <w:t>Мои заявки</w:t>
        </w:r>
      </w:hyperlink>
      <w:r>
        <w:rPr>
          <w:rFonts w:cs="Times New Roman" w:ascii="Times New Roman" w:hAnsi="Times New Roman"/>
          <w:color w:val="0070C0"/>
          <w:sz w:val="28"/>
          <w:szCs w:val="28"/>
          <w:shd w:fill="FFFFFF" w:val="clear"/>
        </w:rPr>
        <w:t>»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личного кабинета пользователя.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Потенциальный участник конкурса подает заявку в ЮУТПП </w:t>
      </w:r>
      <w:r>
        <w:rPr>
          <w:rFonts w:cs="Times New Roman" w:ascii="Times New Roman" w:hAnsi="Times New Roman"/>
          <w:sz w:val="28"/>
          <w:szCs w:val="28"/>
        </w:rPr>
        <w:t>(выбирает соответствующий регион и палату при формировании заявки в цифровом сервисе).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Потенциальный участник конкурса может направить заявку </w:t>
      </w:r>
      <w:r>
        <w:rPr>
          <w:rFonts w:cs="Times New Roman" w:ascii="Times New Roman" w:hAnsi="Times New Roman"/>
          <w:b/>
          <w:bCs/>
          <w:sz w:val="28"/>
          <w:szCs w:val="28"/>
        </w:rPr>
        <w:t>не более чем по одной номинации.</w:t>
      </w:r>
    </w:p>
    <w:p>
      <w:pPr>
        <w:pStyle w:val="BodyText"/>
        <w:widowControl w:val="false"/>
        <w:tabs>
          <w:tab w:val="clear" w:pos="708"/>
          <w:tab w:val="left" w:pos="1134" w:leader="none"/>
          <w:tab w:val="left" w:pos="1276" w:leader="none"/>
          <w:tab w:val="left" w:pos="1418" w:leader="none"/>
        </w:tabs>
        <w:spacing w:before="0" w:after="0"/>
        <w:ind w:firstLine="567" w:right="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первом этапе конкурса (региональном) заявки рассматриваются и оцениваются Южно-Уральской торгово-промышленной палатой.</w:t>
      </w:r>
    </w:p>
    <w:p>
      <w:pPr>
        <w:pStyle w:val="BodyText"/>
        <w:widowControl w:val="false"/>
        <w:tabs>
          <w:tab w:val="clear" w:pos="708"/>
          <w:tab w:val="left" w:pos="1134" w:leader="none"/>
          <w:tab w:val="left" w:pos="1276" w:leader="none"/>
          <w:tab w:val="left" w:pos="1418" w:leader="none"/>
        </w:tabs>
        <w:spacing w:before="0" w:after="0"/>
        <w:ind w:firstLine="567" w:right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победителей регионального этапа направляются через цифровой сервис «Золотой Меркурий» на второй этап конкурса (федеральный) </w:t>
      </w:r>
      <w:r>
        <w:rPr>
          <w:color w:val="000000"/>
          <w:sz w:val="28"/>
          <w:szCs w:val="28"/>
        </w:rPr>
        <w:t>в адрес ТПП РФ</w:t>
      </w:r>
      <w:r>
        <w:rPr>
          <w:sz w:val="28"/>
          <w:szCs w:val="28"/>
        </w:rPr>
        <w:t>.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Торжественная церемония награждения победителей и лауреатов Конкурса состоится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15 июня 2026 года в г. Москве.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Победители Конкурса награждаются эксклюзивными статуэтками «Золотой Меркурий», ценными призами и дипломами ТПП РФ, лауреатам Конкурса вручаются дипломы ТПП РФ и памятные медали.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Победителям и лауреатам Конкурса предоставляется право использования эмблемы Конкурса как показателя, подтверждающего высокое качество продукции и услуг (полный перечень преференций размещен на сайте Конкурса). </w:t>
      </w:r>
    </w:p>
    <w:p>
      <w:pPr>
        <w:pStyle w:val="BodyTextIndent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567"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BodyTextIndent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567" w:left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shd w:fill="FFFFFF" w:val="clear"/>
        </w:rPr>
        <w:t>Контакты.</w:t>
      </w:r>
    </w:p>
    <w:p>
      <w:pPr>
        <w:pStyle w:val="BodyTextIndent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567" w:left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</w:r>
    </w:p>
    <w:p>
      <w:pPr>
        <w:pStyle w:val="BodyTextIndent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567" w:left="0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C00000"/>
          <w:sz w:val="28"/>
          <w:szCs w:val="28"/>
          <w:shd w:fill="FFFFFF" w:val="clear"/>
        </w:rPr>
        <w:t>Региональный организационный комитет конкурса Южно-Уральской торгово-промышленной палаты:</w:t>
      </w:r>
    </w:p>
    <w:p>
      <w:pPr>
        <w:pStyle w:val="BodyTextIndent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567" w:left="0"/>
        <w:jc w:val="both"/>
        <w:rPr>
          <w:rFonts w:ascii="Times New Roman" w:hAnsi="Times New Roman" w:cs="Times New Roman"/>
          <w:bCs/>
          <w:color w:val="C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Cs/>
          <w:color w:val="C00000"/>
          <w:sz w:val="28"/>
          <w:szCs w:val="28"/>
          <w:shd w:fill="FFFFFF" w:val="clear"/>
        </w:rPr>
        <w:t>Телефон: 265-39-58</w:t>
      </w:r>
    </w:p>
    <w:p>
      <w:pPr>
        <w:pStyle w:val="BodyTextIndent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567" w:left="0"/>
        <w:jc w:val="both"/>
        <w:rPr>
          <w:rFonts w:ascii="Times New Roman" w:hAnsi="Times New Roman" w:cs="Times New Roman"/>
          <w:bCs/>
          <w:color w:val="C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Cs/>
          <w:color w:val="C00000"/>
          <w:sz w:val="28"/>
          <w:szCs w:val="28"/>
          <w:shd w:fill="FFFFFF" w:val="clear"/>
        </w:rPr>
        <w:t xml:space="preserve">Электронная почта: </w:t>
      </w:r>
      <w:hyperlink r:id="rId8">
        <w:r>
          <w:rPr>
            <w:rStyle w:val="Hyperlink"/>
            <w:rFonts w:cs="Times New Roman" w:ascii="Times New Roman" w:hAnsi="Times New Roman"/>
            <w:bCs/>
            <w:sz w:val="28"/>
            <w:szCs w:val="28"/>
            <w:shd w:fill="FFFFFF" w:val="clear"/>
            <w:lang w:val="en-US"/>
          </w:rPr>
          <w:t>ok</w:t>
        </w:r>
        <w:r>
          <w:rPr>
            <w:rStyle w:val="Hyperlink"/>
            <w:rFonts w:cs="Times New Roman" w:ascii="Times New Roman" w:hAnsi="Times New Roman"/>
            <w:bCs/>
            <w:sz w:val="28"/>
            <w:szCs w:val="28"/>
            <w:shd w:fill="FFFFFF" w:val="clear"/>
          </w:rPr>
          <w:t>@</w:t>
        </w:r>
        <w:r>
          <w:rPr>
            <w:rStyle w:val="Hyperlink"/>
            <w:rFonts w:cs="Times New Roman" w:ascii="Times New Roman" w:hAnsi="Times New Roman"/>
            <w:bCs/>
            <w:sz w:val="28"/>
            <w:szCs w:val="28"/>
            <w:shd w:fill="FFFFFF" w:val="clear"/>
            <w:lang w:val="en-US"/>
          </w:rPr>
          <w:t>tpp</w:t>
        </w:r>
        <w:r>
          <w:rPr>
            <w:rStyle w:val="Hyperlink"/>
            <w:rFonts w:cs="Times New Roman" w:ascii="Times New Roman" w:hAnsi="Times New Roman"/>
            <w:bCs/>
            <w:sz w:val="28"/>
            <w:szCs w:val="28"/>
            <w:shd w:fill="FFFFFF" w:val="clear"/>
          </w:rPr>
          <w:t>74.</w:t>
        </w:r>
        <w:r>
          <w:rPr>
            <w:rStyle w:val="Hyperlink"/>
            <w:rFonts w:cs="Times New Roman" w:ascii="Times New Roman" w:hAnsi="Times New Roman"/>
            <w:bCs/>
            <w:sz w:val="28"/>
            <w:szCs w:val="28"/>
            <w:shd w:fill="FFFFFF" w:val="clear"/>
            <w:lang w:val="en-US"/>
          </w:rPr>
          <w:t>ru</w:t>
        </w:r>
      </w:hyperlink>
    </w:p>
    <w:p>
      <w:pPr>
        <w:pStyle w:val="BodyTextIndent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567" w:left="0"/>
        <w:jc w:val="both"/>
        <w:rPr>
          <w:rFonts w:ascii="Times New Roman" w:hAnsi="Times New Roman" w:cs="Times New Roman"/>
          <w:bCs/>
          <w:color w:val="C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Cs/>
          <w:color w:val="C00000"/>
          <w:sz w:val="28"/>
          <w:szCs w:val="28"/>
          <w:shd w:fill="FFFFFF" w:val="clear"/>
        </w:rPr>
      </w:r>
    </w:p>
    <w:p>
      <w:pPr>
        <w:pStyle w:val="BodyTextIndent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567" w:left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sectPr>
      <w:footnotePr>
        <w:numFmt w:val="decimal"/>
      </w:footnote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ListParagraph"/>
        <w:keepNext w:val="true"/>
        <w:widowControl/>
        <w:tabs>
          <w:tab w:val="clear" w:pos="708"/>
          <w:tab w:val="left" w:pos="1418" w:leader="none"/>
        </w:tabs>
        <w:ind w:hanging="0" w:left="0"/>
        <w:jc w:val="both"/>
        <w:rPr>
          <w:sz w:val="20"/>
          <w:szCs w:val="20"/>
        </w:rPr>
      </w:pPr>
      <w:r>
        <w:rPr>
          <w:rStyle w:val="Style15"/>
        </w:rPr>
        <w:footnoteRef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За исключением</w:t>
      </w:r>
      <w:r>
        <w:rPr>
          <w:sz w:val="20"/>
          <w:szCs w:val="20"/>
        </w:rPr>
        <w:t xml:space="preserve"> специальной номинации </w:t>
      </w:r>
      <w:r>
        <w:rPr>
          <w:bCs/>
          <w:sz w:val="20"/>
          <w:szCs w:val="20"/>
        </w:rPr>
        <w:t xml:space="preserve">«Лучшая банковская программа для МСП», по которой не предусмотрено проведение регионального этапа. </w:t>
      </w:r>
    </w:p>
  </w:footnote>
  <w:footnote w:id="3">
    <w:p>
      <w:pPr>
        <w:pStyle w:val="ListParagraph"/>
        <w:keepNext w:val="true"/>
        <w:widowControl/>
        <w:tabs>
          <w:tab w:val="clear" w:pos="708"/>
          <w:tab w:val="left" w:pos="1418" w:leader="none"/>
        </w:tabs>
        <w:ind w:hanging="0" w:left="0"/>
        <w:jc w:val="both"/>
        <w:rPr>
          <w:sz w:val="20"/>
          <w:szCs w:val="20"/>
        </w:rPr>
      </w:pPr>
      <w:r>
        <w:rPr>
          <w:rStyle w:val="Style15"/>
        </w:rPr>
        <w:footnoteRef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За исключением</w:t>
      </w:r>
      <w:r>
        <w:rPr>
          <w:sz w:val="20"/>
          <w:szCs w:val="20"/>
        </w:rPr>
        <w:t xml:space="preserve"> специальной номинации </w:t>
      </w:r>
      <w:r>
        <w:rPr>
          <w:bCs/>
          <w:sz w:val="20"/>
          <w:szCs w:val="20"/>
        </w:rPr>
        <w:t>«Лучшая банковская программа для МСП», по которой утверждается отдельный порядок  подачи заявок и отбора победителей</w:t>
      </w:r>
      <w:r>
        <w:rPr>
          <w:sz w:val="20"/>
          <w:szCs w:val="20"/>
        </w:rPr>
        <w:t>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0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2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802a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802a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802a9"/>
    <w:rPr>
      <w:i/>
      <w:iCs/>
    </w:rPr>
  </w:style>
  <w:style w:type="character" w:styleId="1" w:customStyle="1">
    <w:name w:val="Заголовок 1 Знак"/>
    <w:basedOn w:val="DefaultParagraphFont"/>
    <w:uiPriority w:val="9"/>
    <w:qFormat/>
    <w:rsid w:val="004802a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Основной текст Знак"/>
    <w:basedOn w:val="DefaultParagraphFont"/>
    <w:qFormat/>
    <w:rsid w:val="004802a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25" w:customStyle="1">
    <w:name w:val="Font Style25"/>
    <w:qFormat/>
    <w:rsid w:val="004802a9"/>
    <w:rPr>
      <w:rFonts w:ascii="Times New Roman" w:hAnsi="Times New Roman" w:cs="Times New Roman"/>
      <w:sz w:val="26"/>
      <w:szCs w:val="26"/>
    </w:rPr>
  </w:style>
  <w:style w:type="character" w:styleId="Style14" w:customStyle="1">
    <w:name w:val="Абзац списка Знак"/>
    <w:link w:val="ListParagraph"/>
    <w:uiPriority w:val="34"/>
    <w:qFormat/>
    <w:locked/>
    <w:rsid w:val="004802a9"/>
    <w:rPr>
      <w:rFonts w:ascii="Times New Roman" w:hAnsi="Times New Roman" w:eastAsia="Times New Roman" w:cs="Times New Roman"/>
    </w:rPr>
  </w:style>
  <w:style w:type="character" w:styleId="Style15">
    <w:name w:val="Символ сноски"/>
    <w:uiPriority w:val="99"/>
    <w:qFormat/>
    <w:rsid w:val="004802a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Основной текст с отступом Знак"/>
    <w:basedOn w:val="DefaultParagraphFont"/>
    <w:uiPriority w:val="99"/>
    <w:qFormat/>
    <w:rsid w:val="004802a9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c4eb5"/>
    <w:rPr>
      <w:color w:val="605E5C"/>
      <w:shd w:fill="E1DFDD" w:val="clear"/>
    </w:rPr>
  </w:style>
  <w:style w:type="character" w:styleId="EndnoteReference">
    <w:name w:val="endnote reference"/>
    <w:rPr>
      <w:vertAlign w:val="superscript"/>
    </w:rPr>
  </w:style>
  <w:style w:type="character" w:styleId="Style17">
    <w:name w:val="Символ концевой сноск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rsid w:val="004802a9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4802a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link w:val="Style14"/>
    <w:uiPriority w:val="34"/>
    <w:qFormat/>
    <w:rsid w:val="004802a9"/>
    <w:pPr>
      <w:widowControl w:val="false"/>
      <w:spacing w:lineRule="auto" w:line="240" w:before="0" w:after="0"/>
      <w:ind w:hanging="360" w:left="2090"/>
    </w:pPr>
    <w:rPr>
      <w:rFonts w:ascii="Times New Roman" w:hAnsi="Times New Roman" w:eastAsia="Times New Roman" w:cs="Times New Roman"/>
    </w:rPr>
  </w:style>
  <w:style w:type="paragraph" w:styleId="BodyTextIndent">
    <w:name w:val="Body Text Indent"/>
    <w:basedOn w:val="Normal"/>
    <w:link w:val="Style16"/>
    <w:uiPriority w:val="99"/>
    <w:unhideWhenUsed/>
    <w:rsid w:val="004802a9"/>
    <w:pPr>
      <w:spacing w:before="0" w:after="120"/>
      <w:ind w:left="283"/>
    </w:pPr>
    <w:rPr/>
  </w:style>
  <w:style w:type="paragraph" w:styleId="FootnoteText">
    <w:name w:val="footnote text"/>
    <w:basedOn w:val="Normal"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oldmercury.ru/usloviya/" TargetMode="External"/><Relationship Id="rId3" Type="http://schemas.openxmlformats.org/officeDocument/2006/relationships/hyperlink" Target="https://goldmercury.ru/bitrix/&#1050;&#1088;&#1080;&#1090;&#1077;&#1088;&#1080;&#1080;%20&#1086;&#1090;&#1073;&#1086;&#1088;&#1072;%20&#1076;&#1083;&#1103;%20&#1089;&#1087;&#1077;&#1094;&#1085;&#1086;&#1084;&#1080;&#1085;&#1072;&#1094;&#1080;&#1081;%202022%20new.doc" TargetMode="External"/><Relationship Id="rId4" Type="http://schemas.openxmlformats.org/officeDocument/2006/relationships/hyperlink" Target="https://goldmercury.ru/usloviya/" TargetMode="External"/><Relationship Id="rId5" Type="http://schemas.openxmlformats.org/officeDocument/2006/relationships/hyperlink" Target="https://lk.tpprf.ru/registration/" TargetMode="External"/><Relationship Id="rId6" Type="http://schemas.openxmlformats.org/officeDocument/2006/relationships/hyperlink" Target="https://lk.tpprf.ru/services/" TargetMode="External"/><Relationship Id="rId7" Type="http://schemas.openxmlformats.org/officeDocument/2006/relationships/hyperlink" Target="https://lk.tpprf.ru/docflow/" TargetMode="External"/><Relationship Id="rId8" Type="http://schemas.openxmlformats.org/officeDocument/2006/relationships/hyperlink" Target="mailto:ok@tpp74.ru" TargetMode="Externa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LibreOffice/25.2.6.2$Linux_X86_64 LibreOffice_project/520$Build-2</Application>
  <AppVersion>15.0000</AppVersion>
  <Pages>3</Pages>
  <Words>523</Words>
  <Characters>3791</Characters>
  <CharactersWithSpaces>4271</CharactersWithSpaces>
  <Paragraphs>48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2026-01-15T07:41:00Z</dcterms:created>
  <dc:creator>Гурина Наталья Юрьевна</dc:creator>
  <dc:description/>
  <dc:language>ru-RU</dc:language>
  <cp:lastModifiedBy/>
  <dcterms:modified xsi:type="dcterms:W3CDTF">2026-02-20T13:55:24Z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