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A1" w:rsidRDefault="00512CA1" w:rsidP="00512CA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Утвержден</w:t>
      </w:r>
    </w:p>
    <w:p w:rsidR="00512CA1" w:rsidRDefault="00512CA1" w:rsidP="00512CA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br/>
        <w:t>Аргаяшского муниципального округа</w:t>
      </w:r>
      <w:r w:rsidRPr="00E57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CA1" w:rsidRPr="00E57874" w:rsidRDefault="00512CA1" w:rsidP="00512CA1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29.12.2025 № 01-06/32</w:t>
      </w:r>
    </w:p>
    <w:p w:rsidR="00512CA1" w:rsidRDefault="00512CA1" w:rsidP="00512CA1">
      <w:pPr>
        <w:pStyle w:val="ConsPlusTitle"/>
        <w:ind w:firstLine="709"/>
        <w:jc w:val="center"/>
        <w:rPr>
          <w:b w:val="0"/>
        </w:rPr>
      </w:pPr>
    </w:p>
    <w:p w:rsidR="00512CA1" w:rsidRPr="00E57874" w:rsidRDefault="00512CA1" w:rsidP="00512CA1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Pr="00E57874">
        <w:rPr>
          <w:b w:val="0"/>
        </w:rPr>
        <w:t>орядок санкционирования расходов бюджетных</w:t>
      </w:r>
      <w:r>
        <w:rPr>
          <w:b w:val="0"/>
        </w:rPr>
        <w:t>, автономных</w:t>
      </w:r>
      <w:r w:rsidRPr="00E57874">
        <w:rPr>
          <w:b w:val="0"/>
        </w:rPr>
        <w:t xml:space="preserve"> учреждений</w:t>
      </w:r>
      <w:r>
        <w:rPr>
          <w:b w:val="0"/>
        </w:rPr>
        <w:t xml:space="preserve"> </w:t>
      </w:r>
      <w:r w:rsidRPr="00E57874">
        <w:rPr>
          <w:b w:val="0"/>
        </w:rPr>
        <w:t xml:space="preserve">Аргаяшского муниципального </w:t>
      </w:r>
      <w:r>
        <w:rPr>
          <w:b w:val="0"/>
        </w:rPr>
        <w:t>округа</w:t>
      </w:r>
      <w:r w:rsidRPr="00E57874">
        <w:rPr>
          <w:b w:val="0"/>
        </w:rPr>
        <w:t>, ист</w:t>
      </w:r>
      <w:r>
        <w:rPr>
          <w:b w:val="0"/>
        </w:rPr>
        <w:t xml:space="preserve">очником финансового обеспечения </w:t>
      </w:r>
      <w:r w:rsidRPr="00E57874">
        <w:rPr>
          <w:b w:val="0"/>
        </w:rPr>
        <w:t>которых являются субсидии, полученные в соответствии с абзацем вторым пункта 1 статьи 78.1</w:t>
      </w:r>
      <w:r>
        <w:rPr>
          <w:b w:val="0"/>
        </w:rPr>
        <w:t xml:space="preserve"> и пунктом 1 статьи 78.2 </w:t>
      </w:r>
      <w:r w:rsidRPr="00E57874">
        <w:rPr>
          <w:b w:val="0"/>
        </w:rPr>
        <w:t>Бюджетного кодекса Российской Федерации</w:t>
      </w:r>
    </w:p>
    <w:p w:rsidR="00512CA1" w:rsidRPr="00E57874" w:rsidRDefault="00512CA1" w:rsidP="00512CA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Настоящий Порядок санкционирования расходов бюджетных</w:t>
      </w:r>
      <w:r>
        <w:rPr>
          <w:rFonts w:ascii="Times New Roman" w:hAnsi="Times New Roman" w:cs="Times New Roman"/>
          <w:sz w:val="28"/>
          <w:szCs w:val="28"/>
        </w:rPr>
        <w:t>, автономных</w:t>
      </w:r>
      <w:r w:rsidRPr="00E57874">
        <w:rPr>
          <w:rFonts w:ascii="Times New Roman" w:hAnsi="Times New Roman" w:cs="Times New Roman"/>
          <w:sz w:val="28"/>
          <w:szCs w:val="28"/>
        </w:rPr>
        <w:t xml:space="preserve"> учреждений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874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средства, полученные в соответствии с </w:t>
      </w:r>
      <w:hyperlink r:id="rId6" w:tooltip="&quot;Бюджетный кодекс Российской Федерации&quot; от 31.07.1998 N 145-ФЗ (ред. от 28.12.2025) {КонсультантПлюс}">
        <w:r w:rsidRPr="00E57874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tooltip="&quot;Бюджетный кодекс Российской Федерации&quot; от 31.07.1998 N 145-ФЗ (ред. от 28.12.2025) {КонсультантПлюс}">
        <w:r w:rsidRPr="00E57874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78.2</w:t>
        </w:r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именуется Порядок), разработан в соответствии с Бюджетным </w:t>
      </w:r>
      <w:hyperlink r:id="rId8" w:tooltip="&quot;Бюджетный кодекс Российской Федерации&quot; от 31.07.1998 N 145-ФЗ (ред. от 28.12.2025) {КонсультантПлюс}">
        <w:r w:rsidRPr="00E5787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 Российской Федерации, Челябинской области и Аргаяшского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57874">
        <w:rPr>
          <w:rFonts w:ascii="Times New Roman" w:hAnsi="Times New Roman" w:cs="Times New Roman"/>
          <w:sz w:val="28"/>
          <w:szCs w:val="28"/>
        </w:rPr>
        <w:t>устанавливает порядок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санкционирования финансовым управлением администрации Аргаяшского муниципального округа (далее именуется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) оплаты денежных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бюджетных, </w:t>
      </w:r>
      <w:r w:rsidRPr="00E57874">
        <w:rPr>
          <w:rFonts w:ascii="Times New Roman" w:hAnsi="Times New Roman" w:cs="Times New Roman"/>
          <w:sz w:val="28"/>
          <w:szCs w:val="28"/>
        </w:rPr>
        <w:t xml:space="preserve">автономных учреждений округа (далее именуются учреждения), источником финансового обеспечения которых являются субсидии, представленные учреждениям на основании решения Собрания депутатов Аргаяшского муниципального округа о бюджете на текущий финансовый год и плановый период в соответствии с </w:t>
      </w:r>
      <w:hyperlink r:id="rId9" w:tooltip="&quot;Бюджетный кодекс Российской Федерации&quot; от 31.07.1998 N 145-ФЗ (ред. от 28.12.2025) {КонсультантПлюс}">
        <w:r w:rsidRPr="00E57874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tooltip="&quot;Бюджетный кодекс Российской Федерации&quot; от 31.07.1998 N 145-ФЗ (ред. от 28.12.2025) {КонсультантПлюс}">
        <w:r w:rsidRPr="00E57874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78.2</w:t>
        </w:r>
        <w:proofErr w:type="gramEnd"/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именуются целевые субсидии).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2. Операции с целевыми субсидиями, поступающими учреждению, учитываются на соответствующих отдельных лицевых счетах, открываемых учреждению в финансовом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E57874">
        <w:rPr>
          <w:rFonts w:ascii="Times New Roman" w:hAnsi="Times New Roman" w:cs="Times New Roman"/>
          <w:sz w:val="28"/>
          <w:szCs w:val="28"/>
        </w:rPr>
        <w:t xml:space="preserve"> в порядке, установленном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>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7874">
        <w:rPr>
          <w:rFonts w:ascii="Times New Roman" w:hAnsi="Times New Roman" w:cs="Times New Roman"/>
          <w:sz w:val="28"/>
          <w:szCs w:val="28"/>
        </w:rPr>
        <w:t xml:space="preserve">. Учредитель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ежегодно представля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57874">
        <w:rPr>
          <w:rFonts w:ascii="Times New Roman" w:hAnsi="Times New Roman" w:cs="Times New Roman"/>
          <w:sz w:val="28"/>
          <w:szCs w:val="28"/>
        </w:rPr>
        <w:t xml:space="preserve"> сведения об операциях с целевыми субсидиями 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приложению 1</w:t>
      </w:r>
      <w:r w:rsidRPr="00E57874">
        <w:rPr>
          <w:rFonts w:ascii="Times New Roman" w:hAnsi="Times New Roman" w:cs="Times New Roman"/>
          <w:sz w:val="28"/>
          <w:szCs w:val="28"/>
        </w:rPr>
        <w:t xml:space="preserve"> к настоящему Порядку (далее именуются Сведения) на бумажном носителе в двух экземплярах, утвержденные учредителем с одновременным представлением в электронном виде.</w:t>
      </w:r>
    </w:p>
    <w:p w:rsidR="00512CA1" w:rsidRDefault="00512CA1" w:rsidP="00EA1532">
      <w:pPr>
        <w:ind w:firstLine="709"/>
        <w:jc w:val="both"/>
        <w:rPr>
          <w:sz w:val="28"/>
          <w:szCs w:val="28"/>
        </w:rPr>
      </w:pPr>
      <w:r w:rsidRPr="00E57874">
        <w:rPr>
          <w:sz w:val="28"/>
          <w:szCs w:val="28"/>
        </w:rPr>
        <w:t xml:space="preserve">Сведения при наличии между </w:t>
      </w:r>
      <w:r>
        <w:rPr>
          <w:sz w:val="28"/>
          <w:szCs w:val="28"/>
        </w:rPr>
        <w:t xml:space="preserve">Учредителем и </w:t>
      </w:r>
      <w:r w:rsidRPr="00E57874">
        <w:rPr>
          <w:sz w:val="28"/>
          <w:szCs w:val="28"/>
        </w:rPr>
        <w:t xml:space="preserve">финансовым </w:t>
      </w:r>
      <w:r>
        <w:rPr>
          <w:sz w:val="28"/>
          <w:szCs w:val="28"/>
        </w:rPr>
        <w:t>управлением</w:t>
      </w:r>
      <w:r w:rsidRPr="00E57874">
        <w:rPr>
          <w:sz w:val="28"/>
          <w:szCs w:val="28"/>
        </w:rPr>
        <w:t xml:space="preserve"> электронного документооборота с применением электронной цифровой подписи представляет в электронном виде с применением электронной цифровой подписи (далее – в электронном виде)</w:t>
      </w:r>
    </w:p>
    <w:p w:rsidR="00512CA1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При отсутствии электронного документооборота с применением электронной цифровой подписи Перечень целевых субсидий представляется на бумажном носителе с одновременным представлением на машинном носителе.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Для санкционирования целевых расходов, источником финансового обеспечения которых являются неиспользованные на начало текущего финансового года остатки целевых субсидий прошлых лет, на суммы которых согласно решению учредителя подтверждена потребность в направлении их на те же цели (далее именуется разрешенный к использованию остаток целевой субсидии), учредителем представляются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Сведения, в которых сумма разрешенного к использованию остатка целевой субсидии прошлых лет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указывается в соответствующей графе Сведений с указанием кода целевой субсидии в новом </w:t>
      </w:r>
      <w:r w:rsidRPr="00E57874">
        <w:rPr>
          <w:rFonts w:ascii="Times New Roman" w:hAnsi="Times New Roman" w:cs="Times New Roman"/>
          <w:sz w:val="28"/>
          <w:szCs w:val="28"/>
        </w:rPr>
        <w:lastRenderedPageBreak/>
        <w:t>финансовом году и с указанием кода целевой субсидии прошлых лет (код субсидии в отношении разрешенного к использованию остатка субсидии прошлых лет), если коды целевой субсидии, присвоенные для учета операций с целевой субсидией в прошлые годы и в новом финансовом году, различаются.</w:t>
      </w:r>
      <w:proofErr w:type="gramEnd"/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Учредитель при наличии между учредителем и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с применением электронной подписи представляет отчет о расходах и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о документах, подтверждающих наличие принятых и не исполненных обязательств, в форме электронных копий документов, подтвержденных электронной подписью уполномоченного лица учредителя.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Неиспользованные на начало текущего финансового года остатки целевых субсидий прошлых лет, в отношении которых учредителем не принято решение о направлении их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же цели в текущем финансовом году подлежат перечислению учреждением в доход бюджета округа.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Для санкционирования целевых расходов, источником финансового обеспечения которых являются суммы возврата дебиторской задолженности прошлых лет, на которые согласно решению учредителя подтверждена в течение текущего финансового года потребность в направлении их на те же цели, учредителем представляются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Сведения, в которых сумма возврата дебиторской задолженности прошлых лет, разрешенная к использованию, указывается в соответствующей графе Сведений с указанием кода целевой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субсидии и с указанием кода целевой субсидии прошлых лет в отношении возврата (код субсидии в отношении возврата дебиторской задолженности прошлых лет), если коды целевой субсидии, присвоенные для учета операций с целевой субсидией в прошлые годы и в новом финансовом году, различаются.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До получения Сведений, предусмотренных настоящим пунктом, сумма возврата дебиторской задолженности прошлых лет, потребность в использовании которых не подтверждена, учитывается на отдельном лицевом счете учреждения, без права расходования.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В Сведениях указываются планируемые на текущий финансовый год суммы поступлений целевых субсидий в разрезе кодов субсидий по каждой целевой субсидии (по коду аналитической группы подвида доходов бюджетов), суммы возвратов дебиторской задолженности прошлых лет, а также поступлений от возврата выданных займов (по коду аналитической группы вида источников финансирования дефицитов бюджетов) и соответствующие им планируемые суммы целевых расходов учреждения (по кодам групп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, подгрупп и элементов видов расходов классификации расходов бюджетов (далее именуется - код видов расходов бюджета)) без подведения </w:t>
      </w:r>
      <w:proofErr w:type="spellStart"/>
      <w:r w:rsidRPr="00E57874">
        <w:rPr>
          <w:rFonts w:ascii="Times New Roman" w:hAnsi="Times New Roman" w:cs="Times New Roman"/>
          <w:sz w:val="28"/>
          <w:szCs w:val="28"/>
        </w:rPr>
        <w:t>группировочных</w:t>
      </w:r>
      <w:proofErr w:type="spellEnd"/>
      <w:r w:rsidRPr="00E57874">
        <w:rPr>
          <w:rFonts w:ascii="Times New Roman" w:hAnsi="Times New Roman" w:cs="Times New Roman"/>
          <w:sz w:val="28"/>
          <w:szCs w:val="28"/>
        </w:rPr>
        <w:t xml:space="preserve"> итогов, а также: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разрешенные к использованию остатки целевых субсидий и соответствующие им планируемые суммы целевых выплат;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суммы возврата дебиторской задолженности прошлых лет, разрешенные к использованию и соответствующие им планируемые суммы целевых выплат;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наименования субсидий с указанием целей, на осуществление которых они предоставляются.</w:t>
      </w:r>
    </w:p>
    <w:p w:rsidR="00512CA1" w:rsidRPr="00647346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t>Код субсидии - аналитический код для учета операций с целевыми субсидиями состоит из восемнадцати разрядов, где:</w:t>
      </w:r>
    </w:p>
    <w:p w:rsidR="00512CA1" w:rsidRPr="00647346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t>с 1 по 3 разряд - код ведомства по бюджетной росписи учредителя;</w:t>
      </w:r>
    </w:p>
    <w:p w:rsidR="00512CA1" w:rsidRPr="00647346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lastRenderedPageBreak/>
        <w:t>с 4 по 13 разряд - код целевой статьи по бюджетной росписи учредителя;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t>с 14 по 18 разряд - дополнительный код.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6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Pr="00E57874">
        <w:rPr>
          <w:rFonts w:ascii="Times New Roman" w:hAnsi="Times New Roman" w:cs="Times New Roman"/>
          <w:sz w:val="28"/>
          <w:szCs w:val="28"/>
        </w:rPr>
        <w:t>. Целевые расходы осуществляются на основании заявки на выплату средств (далее именуется - Заявка).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Заявка при наличии электронного документооборота с применением электронной подписи на основании соглашения об обмене электронными документами, заключенного между учреждением и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 xml:space="preserve">, соглашения об обмене электронными документами, заключенного между учредителем и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>, представляется в электронном виде.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При отсутствии электронного документооборота с применением электронной подписи Заявка представляется на бумажном носителе в двух экземплярах с одновременным представлением в электронном виде.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Первый экземпляр Заявки на бумажном носителе оформляется подписями и оттиском печати учреждения, имеющимися в карточке с образцами подписей и оттиска печати.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57874">
        <w:rPr>
          <w:rFonts w:ascii="Times New Roman" w:hAnsi="Times New Roman" w:cs="Times New Roman"/>
          <w:sz w:val="28"/>
          <w:szCs w:val="28"/>
        </w:rPr>
        <w:t>. Заявка действительна в течение трех рабочих дней с момента ее оформления в электронном виде. Заявки, срок действия которых истек, подлежат отказу.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В случае если дата, указанная в Заявке на бумажном носителе не соответствует дате фактического ее представления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, уполномоченный работник финансового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57874">
        <w:rPr>
          <w:rFonts w:ascii="Times New Roman" w:hAnsi="Times New Roman" w:cs="Times New Roman"/>
          <w:sz w:val="28"/>
          <w:szCs w:val="28"/>
        </w:rPr>
        <w:t xml:space="preserve"> вправе потребовать от представителя учреждения указать на Заявке дату фактического представления, заверенную подписью этого представителя.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57874">
        <w:rPr>
          <w:rFonts w:ascii="Times New Roman" w:hAnsi="Times New Roman" w:cs="Times New Roman"/>
          <w:sz w:val="28"/>
          <w:szCs w:val="28"/>
        </w:rPr>
        <w:t xml:space="preserve">. Заявки принимаются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 xml:space="preserve"> от учреждения в пределах средств по соответствующему коду субсидии. Суммы, зачисленные на счет финансового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57874">
        <w:rPr>
          <w:rFonts w:ascii="Times New Roman" w:hAnsi="Times New Roman" w:cs="Times New Roman"/>
          <w:sz w:val="28"/>
          <w:szCs w:val="28"/>
        </w:rPr>
        <w:t xml:space="preserve">, на основании платежных документов, в которых не указан или указан несуществующий код субсидии, учитываются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>, на лицевом счете учреждения, без права расходования.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874">
        <w:rPr>
          <w:rFonts w:ascii="Times New Roman" w:hAnsi="Times New Roman" w:cs="Times New Roman"/>
          <w:sz w:val="28"/>
          <w:szCs w:val="28"/>
        </w:rPr>
        <w:t>В случае возврата ранее произведенной оплаты прошлых лет по целевым субсидиям и при отсутствии Сведений, в которых данная сумма в качестве суммы возврата дебиторской задолженности прошлых лет разрешена к использованию в текущем финансовом году, учреждение осуществляет перечисление указанной суммы в доход бюджета округа не позднее 30-го календарного дня со дня зачисления средств на отдельный лицевой счет учреждения.</w:t>
      </w:r>
      <w:proofErr w:type="gramEnd"/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>, не позднее рабочего дня, следующего за днем представления учреждением Заявки, проверяет ее на соответствие установленной форме, оформленной в соответствии с настоящим Порядком.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Заявка должна содержать следующие реквизиты и показатели: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1) номер лицевого счета учреждения;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2) код по бюджетной классификации Российской Федерации;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3) сумму перечисления в валюте Российской Федерации, в рублевом эквиваленте, исчисленном на дату оформления Заявки;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4) сумму налога на добавленную стоимость (при наличии);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5) наименование, банковские реквизиты, идентификационный номер налогоплательщика (ИНН) и код причины постановки на учет (КПП) получателя денежных средств по Заявке (при наличии);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lastRenderedPageBreak/>
        <w:t>6) данные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2"/>
      <w:bookmarkEnd w:id="1"/>
      <w:proofErr w:type="gramStart"/>
      <w:r w:rsidRPr="00E57874">
        <w:rPr>
          <w:rFonts w:ascii="Times New Roman" w:hAnsi="Times New Roman" w:cs="Times New Roman"/>
          <w:sz w:val="28"/>
          <w:szCs w:val="28"/>
        </w:rPr>
        <w:t>7) реквизиты договора (номер, дата) договора (изменения к договору) и предмет договора на поставку товаров, выполнение работ, оказание услуг или договора аренды и реквизиты (тип, номер, дата) документа, подтверждающего возникновение денежного обязательства при поставке товаров (накладная или акт приемки-передачи, или универсальный передаточный документ или иной документ, подтверждающий возникновение денежных обязательств при поставке товаров), выполнении работ (акт выполненных работ), оказании услуг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акт оказанных услуг, или счет, или универсальный передаточный документ, или счет-фактура) или иные документы, подтверждающие возникновение денежных обязательств при поставке товаров, выполнении работ, оказании услуг, номер и дата исполнительного документа (исполнительный лист, судебный приказ), направленного для исполнения в соответствии с требованиями </w:t>
      </w:r>
      <w:hyperlink r:id="rId1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 w:rsidRPr="004E33FA">
          <w:rPr>
            <w:rFonts w:ascii="Times New Roman" w:hAnsi="Times New Roman" w:cs="Times New Roman"/>
            <w:sz w:val="28"/>
            <w:szCs w:val="28"/>
          </w:rPr>
          <w:t>части 20 статьи 30</w:t>
        </w:r>
      </w:hyperlink>
      <w:r w:rsidRPr="004E33FA">
        <w:rPr>
          <w:rFonts w:ascii="Times New Roman" w:hAnsi="Times New Roman" w:cs="Times New Roman"/>
          <w:sz w:val="28"/>
          <w:szCs w:val="28"/>
        </w:rPr>
        <w:t xml:space="preserve"> </w:t>
      </w:r>
      <w:r w:rsidRPr="00E57874">
        <w:rPr>
          <w:rFonts w:ascii="Times New Roman" w:hAnsi="Times New Roman" w:cs="Times New Roman"/>
          <w:sz w:val="28"/>
          <w:szCs w:val="28"/>
        </w:rPr>
        <w:t>Федерального закона от 8 мая 2010 года N 83-ФЗ "О внесении изменений в отдельные законодательные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акты Российской Федерации в связи с совершенствованием правового положения государственных (муниципальных) учреждений", </w:t>
      </w:r>
      <w:hyperlink r:id="rId12" w:tooltip="Федеральный закон от 03.11.2006 N 174-ФЗ (ред. от 24.06.2025, с изм. от 28.11.2025) &quot;Об автономных учреждениях&quot; {КонсультантПлюс}">
        <w:r w:rsidRPr="004E33FA">
          <w:rPr>
            <w:rFonts w:ascii="Times New Roman" w:hAnsi="Times New Roman" w:cs="Times New Roman"/>
            <w:sz w:val="28"/>
            <w:szCs w:val="28"/>
          </w:rPr>
          <w:t>части 3.19 статьи 2</w:t>
        </w:r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"Об автономных учреждениях";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  <w:r w:rsidRPr="00E57874">
        <w:rPr>
          <w:rFonts w:ascii="Times New Roman" w:hAnsi="Times New Roman" w:cs="Times New Roman"/>
          <w:sz w:val="28"/>
          <w:szCs w:val="28"/>
        </w:rPr>
        <w:t>8) назначение платежа, исходя из предмета договора и (или) документа, подтверждающего возникновение денежного обязательства.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9) номер сведений об обязательстве и договоре.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10) уникальный номер реестровой записи, идентификатор информации о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о приемке поставленного товара, выполненной работы (ее результатов), оказанных услуг или идентификатор информации об этапе исполнения контракта (в случае авансового платежа) (далее именуются соответственно - идентификатор документа о приемке, идентификатор этапа) и код вида реестра - "02" в случае санкционирования расходов, возникающих при оплате контрактов</w:t>
      </w:r>
      <w:r w:rsidRPr="00FF09D6">
        <w:rPr>
          <w:rFonts w:ascii="Times New Roman" w:hAnsi="Times New Roman" w:cs="Times New Roman"/>
          <w:sz w:val="28"/>
          <w:szCs w:val="28"/>
        </w:rPr>
        <w:t>, указанных в пункте 19.1 настоящего Порядка;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11) идентификатор контракта, договора, при казначейском сопровождении средств.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122" w:tooltip="7) реквизиты договора (номер, дата) договора (изменения к договору) и предмет договора на поставку товаров, выполнение работ, оказание услуг или договора аренды и реквизиты (тип, номер, дата) документа, подтверждающего возникновение денежного обязательства при">
        <w:r w:rsidRPr="004E33FA">
          <w:rPr>
            <w:rFonts w:ascii="Times New Roman" w:hAnsi="Times New Roman" w:cs="Times New Roman"/>
            <w:sz w:val="28"/>
            <w:szCs w:val="28"/>
          </w:rPr>
          <w:t>подпунктов 7</w:t>
        </w:r>
      </w:hyperlink>
      <w:r w:rsidRPr="004E33F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4" w:tooltip="8) назначение платежа, исходя из предмета договора и (или) документа, подтверждающего возникновение денежного обязательства.">
        <w:r w:rsidRPr="004E33F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E33FA">
        <w:rPr>
          <w:rFonts w:ascii="Times New Roman" w:hAnsi="Times New Roman" w:cs="Times New Roman"/>
          <w:sz w:val="28"/>
          <w:szCs w:val="28"/>
        </w:rPr>
        <w:t xml:space="preserve"> </w:t>
      </w:r>
      <w:r w:rsidRPr="00E57874">
        <w:rPr>
          <w:rFonts w:ascii="Times New Roman" w:hAnsi="Times New Roman" w:cs="Times New Roman"/>
          <w:sz w:val="28"/>
          <w:szCs w:val="28"/>
        </w:rPr>
        <w:t>настоящего пункта не применяются в отношении Заявок: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на получение денежных средств, перечисляемых на банковские карты или на счета Управления Федерального казначейства по Челябинской области, открытых для получения наличных денежных средств;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при оплате по договору на выполнение работ, оказание услуг, заключенному учреждением с физическим лицом, не являющимся индивидуальным предпринимателем.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Для подтверждения возникновения денежного обязательства по поставке товаров, выполнению работ, оказанию услуг, аренде учреждение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вместе с Заявкой указанные в ней договор или договор аренды и документы, подтверждающие возникновение денежного обязательства, предусмотренные порядком санкционирования оплаты денежных обязательств получателей средств  бюджета округа, утвержденным приказом финансового управления Аргаяшского муниципального округа (далее именуются - документы-основания).</w:t>
      </w:r>
      <w:proofErr w:type="gramEnd"/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lastRenderedPageBreak/>
        <w:t>В Заявке при оплате товаров, выполнении работ, оказании услуг, в случаях, когда заключение договора законодательством Российской Федерации не предусмотрено, реквизиты договора не указываются.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К Заявкам при оплате по договору или договору аренды, в которых предусмотрены авансовые платежи, представляются документы, подтверждающие возникновение денежного обязательства, в соответствии с условиями договора или договора аренды (в иных случаях по оплате аренды предоставление документа, подтверждающего возникновение денежного обязательства, не требуется).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При наличии между учреждением и финансовым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57874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с применением электронной подписи учреждение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документы-основания в форме электронной копии бумажного документа, созданного посредством сканирования, или копии электронного документа,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подтвержденных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электронной подписью уполномоченного лица учреждения.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Учреждение при отсутствии электронного документооборота с применением электронной подписи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документы-основания на бумажном носителе.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представленных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документов-оснований несет учреждение.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57874">
        <w:rPr>
          <w:rFonts w:ascii="Times New Roman" w:hAnsi="Times New Roman" w:cs="Times New Roman"/>
          <w:sz w:val="28"/>
          <w:szCs w:val="28"/>
        </w:rPr>
        <w:t xml:space="preserve">. При санкционировании оплаты денежного обязательства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>, осуществляет проверку Заявки и документов-оснований по следующим направлениям: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- отдел контроля в сфере закупок: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1) наличие указанного в Заявке кода видов расходов бюджета и кода субсидии в Сведениях;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2) соответствие указанного в Заявке кода видов расходов бюджета коду видов расходов бюджета, указанному в Сведениях по соответствующему коду субсидии;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5787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7874">
        <w:rPr>
          <w:rFonts w:ascii="Times New Roman" w:hAnsi="Times New Roman" w:cs="Times New Roman"/>
          <w:sz w:val="28"/>
          <w:szCs w:val="28"/>
        </w:rPr>
        <w:t xml:space="preserve"> суммы, указанной в Заявке, над суммой остатка расходов по соответствующему коду видов расходов бюджета и соответствующему коду субсидии на отдельном лицевом счете;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5428">
        <w:rPr>
          <w:rFonts w:ascii="Times New Roman" w:hAnsi="Times New Roman" w:cs="Times New Roman"/>
          <w:sz w:val="28"/>
          <w:szCs w:val="28"/>
        </w:rPr>
        <w:t>тдел казначейского исполнения бюджета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9"/>
      <w:bookmarkEnd w:id="3"/>
      <w:r w:rsidRPr="00E57874">
        <w:rPr>
          <w:rFonts w:ascii="Times New Roman" w:hAnsi="Times New Roman" w:cs="Times New Roman"/>
          <w:sz w:val="28"/>
          <w:szCs w:val="28"/>
        </w:rPr>
        <w:t xml:space="preserve">4) соответствие содержания операции по оплате денежных обязательств на поставку товаров, выполнение работ, оказание услуг, аренды, исходя из документа-основания, содержанию текста назначения платежа,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57874">
        <w:rPr>
          <w:rFonts w:ascii="Times New Roman" w:hAnsi="Times New Roman" w:cs="Times New Roman"/>
          <w:sz w:val="28"/>
          <w:szCs w:val="28"/>
        </w:rPr>
        <w:t xml:space="preserve"> в Заявке;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1"/>
      <w:bookmarkStart w:id="5" w:name="P163"/>
      <w:bookmarkEnd w:id="4"/>
      <w:bookmarkEnd w:id="5"/>
      <w:r w:rsidRPr="00E57874">
        <w:rPr>
          <w:rFonts w:ascii="Times New Roman" w:hAnsi="Times New Roman" w:cs="Times New Roman"/>
          <w:sz w:val="28"/>
          <w:szCs w:val="28"/>
        </w:rPr>
        <w:t xml:space="preserve">5) соответствие указанных в Заявке реквизитов документов-оснований реквизитам представленных к Заявке документов-оснований согласно требованиям </w:t>
      </w:r>
      <w:hyperlink w:anchor="P122" w:tooltip="7) реквизиты договора (номер, дата) договора (изменения к договору) и предмет договора на поставку товаров, выполнение работ, оказание услуг или договора аренды и реквизиты (тип, номер, дата) документа, подтверждающего возникновение денежного обязательства при">
        <w:r w:rsidRPr="004E33FA">
          <w:rPr>
            <w:rFonts w:ascii="Times New Roman" w:hAnsi="Times New Roman" w:cs="Times New Roman"/>
            <w:sz w:val="28"/>
            <w:szCs w:val="28"/>
          </w:rPr>
          <w:t>подпункта 7 пункта 10</w:t>
        </w:r>
      </w:hyperlink>
      <w:r w:rsidRPr="004E33FA">
        <w:rPr>
          <w:rFonts w:ascii="Times New Roman" w:hAnsi="Times New Roman" w:cs="Times New Roman"/>
          <w:sz w:val="28"/>
          <w:szCs w:val="28"/>
        </w:rPr>
        <w:t xml:space="preserve"> </w:t>
      </w:r>
      <w:r w:rsidRPr="00E57874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6) соответствие образцов подписей и оттиска печати на Заявке, представленной на бумажном носителе, образцам подписей и оттиска печати в карточке с образцами подписей и оттиска печати.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E5787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7874">
        <w:rPr>
          <w:rFonts w:ascii="Times New Roman" w:hAnsi="Times New Roman" w:cs="Times New Roman"/>
          <w:sz w:val="28"/>
          <w:szCs w:val="28"/>
        </w:rPr>
        <w:t xml:space="preserve"> указанного в Заявке авансового платежа предельному размеру авансового платежа, установленному нормативными правовыми актами Российской Федерации и Челябинской области.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159" w:tooltip="4) соответствие содержания операции по оплате денежных обязательств на поставку товаров, выполнение работ, оказание услуг, аренды, исходя из документа-основания, содержанию текста назначения платежа, указанным в Заявке;">
        <w:r w:rsidRPr="004E33FA">
          <w:rPr>
            <w:rFonts w:ascii="Times New Roman" w:hAnsi="Times New Roman" w:cs="Times New Roman"/>
            <w:sz w:val="28"/>
            <w:szCs w:val="28"/>
          </w:rPr>
          <w:t>подпунктов 4</w:t>
        </w:r>
      </w:hyperlink>
      <w:r w:rsidRPr="004E33F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3" w:tooltip="6) соответствие указанных в Заявке реквизитов документов-оснований реквизитам представленных к Заявке документов-оснований согласно требованиям подпункта 7 пункта 13 настоящего Порядка;">
        <w:r w:rsidRPr="004E33F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57874">
        <w:rPr>
          <w:rFonts w:ascii="Times New Roman" w:hAnsi="Times New Roman" w:cs="Times New Roman"/>
          <w:sz w:val="28"/>
          <w:szCs w:val="28"/>
        </w:rPr>
        <w:t xml:space="preserve"> настоящего пункта не применяются в отношении Заявок: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на получение денежных средств, перечисляемых на банковскую карту или на </w:t>
      </w:r>
      <w:r w:rsidRPr="00E57874">
        <w:rPr>
          <w:rFonts w:ascii="Times New Roman" w:hAnsi="Times New Roman" w:cs="Times New Roman"/>
          <w:sz w:val="28"/>
          <w:szCs w:val="28"/>
        </w:rPr>
        <w:lastRenderedPageBreak/>
        <w:t>счета Управления Федерального казначейства по Челябинской области, открытых для получения наличных денежных средств;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при оплате по договору на выполнение работ, оказание услуг, заключенному учреждением с физическим лицом, не являющимся индивидуальным предпринимателем.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4"/>
      <w:bookmarkEnd w:id="6"/>
      <w:r>
        <w:rPr>
          <w:rFonts w:ascii="Times New Roman" w:hAnsi="Times New Roman" w:cs="Times New Roman"/>
          <w:sz w:val="28"/>
          <w:szCs w:val="28"/>
        </w:rPr>
        <w:t>13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При санкционировании целевых расходов, возникающих при оплате контрактов, подлежащих включению в соответствии со </w:t>
      </w:r>
      <w:hyperlink r:id="rId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4E33FA">
          <w:rPr>
            <w:rFonts w:ascii="Times New Roman" w:hAnsi="Times New Roman" w:cs="Times New Roman"/>
            <w:sz w:val="28"/>
            <w:szCs w:val="28"/>
          </w:rPr>
          <w:t>статьей 103</w:t>
        </w:r>
      </w:hyperlink>
      <w:r w:rsidRPr="004E33FA">
        <w:rPr>
          <w:rFonts w:ascii="Times New Roman" w:hAnsi="Times New Roman" w:cs="Times New Roman"/>
          <w:sz w:val="28"/>
          <w:szCs w:val="28"/>
        </w:rPr>
        <w:t xml:space="preserve"> </w:t>
      </w:r>
      <w:r w:rsidRPr="00E57874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N 44-ФЗ "О контрактной системе в сфере закупок товаров, работ, услуг для обеспечения государственных и муниципальных нужд" в реестр контрактов, заключенных заказчиками (далее именуется - реестр контрактов),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(отдел контроля в сфере закупок) дополнительно осуществляет проверку Заявки по следующим направлениям:</w:t>
      </w:r>
      <w:proofErr w:type="gramEnd"/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1) наличие информации о контракте в реестре контрактов;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2) наличие кода вида реестра - "02";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3) соответствие уникального номера реестровой записи, идентификатора информации этапа в случае, если контрактом предусмотрена выплата аванса, указанных в Заявке, уникальному номеру реестровой записи, идентификатору этапа, указанных в реестре контрактов;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>4) соответствие уникального номера реестровой записи, идентификатора документа о приемке, указанных в Заявке, уникальному номеру реестровой записи, идентификатору документа о приемке, указанных в реестре контрактов;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787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7874">
        <w:rPr>
          <w:rFonts w:ascii="Times New Roman" w:hAnsi="Times New Roman" w:cs="Times New Roman"/>
          <w:sz w:val="28"/>
          <w:szCs w:val="28"/>
        </w:rPr>
        <w:t xml:space="preserve"> суммы в Заявке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74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E5787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7874">
        <w:rPr>
          <w:rFonts w:ascii="Times New Roman" w:hAnsi="Times New Roman" w:cs="Times New Roman"/>
          <w:sz w:val="28"/>
          <w:szCs w:val="28"/>
        </w:rPr>
        <w:t xml:space="preserve"> суммы в Заявке над суммой, указанной в документе о приемке, информация о котором размещена в реестре контрактов.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E57874">
        <w:rPr>
          <w:rFonts w:ascii="Times New Roman" w:hAnsi="Times New Roman" w:cs="Times New Roman"/>
          <w:sz w:val="28"/>
          <w:szCs w:val="28"/>
        </w:rPr>
        <w:t xml:space="preserve">. В случае если форма или информация, указанная в Заявке, не соответствуют требованиям, установленным настоящим Порядком,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E57874">
        <w:rPr>
          <w:rFonts w:ascii="Times New Roman" w:hAnsi="Times New Roman" w:cs="Times New Roman"/>
          <w:sz w:val="28"/>
          <w:szCs w:val="28"/>
        </w:rPr>
        <w:t>возвращает учреждению не позднее рабочего дня, следующего за днем представления Заявки учреждением, один экземпляр Заявки на бумажном носителе с отметкой "Отказано" и указанием в электронном виде причины возврата.</w:t>
      </w:r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E578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7874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уполномоченными работниками финансового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57874">
        <w:rPr>
          <w:rFonts w:ascii="Times New Roman" w:hAnsi="Times New Roman" w:cs="Times New Roman"/>
          <w:sz w:val="28"/>
          <w:szCs w:val="28"/>
        </w:rPr>
        <w:t xml:space="preserve"> проставляется отметка, подтверждающая санкционирование оплаты денежных обязательств учреждения с указанием «Принято к исполнению», даты, подписи, расшифровки подписи, содержащей фамилию, инициалы указанного работника, и Заявка принимается к исполнению.</w:t>
      </w:r>
      <w:proofErr w:type="gramEnd"/>
    </w:p>
    <w:p w:rsidR="00512CA1" w:rsidRPr="00E57874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57874">
        <w:rPr>
          <w:rFonts w:ascii="Times New Roman" w:hAnsi="Times New Roman" w:cs="Times New Roman"/>
          <w:sz w:val="28"/>
          <w:szCs w:val="28"/>
        </w:rPr>
        <w:t xml:space="preserve">. Учреждение при отсутствии электронного документооборота с применением электронной подписи представляет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E57874">
        <w:rPr>
          <w:rFonts w:ascii="Times New Roman" w:hAnsi="Times New Roman" w:cs="Times New Roman"/>
          <w:sz w:val="28"/>
          <w:szCs w:val="28"/>
        </w:rPr>
        <w:t xml:space="preserve"> реестр заявок на бумажном носителе в двух экземплярах, в случае оплаты денежных обязательств без документов-оснований.</w:t>
      </w:r>
    </w:p>
    <w:p w:rsidR="001A7C38" w:rsidRPr="00EA1532" w:rsidRDefault="00512CA1" w:rsidP="00EA1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E57874">
        <w:rPr>
          <w:rFonts w:ascii="Times New Roman" w:hAnsi="Times New Roman" w:cs="Times New Roman"/>
          <w:sz w:val="28"/>
          <w:szCs w:val="28"/>
        </w:rPr>
        <w:t xml:space="preserve">. Положения </w:t>
      </w:r>
      <w:hyperlink w:anchor="P161" w:tooltip="5) непревышение суммы, указанной в Заявке, над суммой остатка расходов по соответствующему коду видов расходов бюджета и соответствующему коду субсидии на отдельном лицевом счете;">
        <w:r w:rsidRPr="004E33FA">
          <w:rPr>
            <w:rFonts w:ascii="Times New Roman" w:hAnsi="Times New Roman" w:cs="Times New Roman"/>
            <w:sz w:val="28"/>
            <w:szCs w:val="28"/>
          </w:rPr>
          <w:t>подпункта 5 пункта</w:t>
        </w:r>
        <w:r w:rsidRPr="00E57874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E57874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документов, предусматривающих обращение взыскания на средства учреждения.</w:t>
      </w:r>
    </w:p>
    <w:sectPr w:rsidR="001A7C38" w:rsidRPr="00EA1532" w:rsidSect="00EE2D40">
      <w:headerReference w:type="even" r:id="rId14"/>
      <w:headerReference w:type="default" r:id="rId15"/>
      <w:pgSz w:w="11905" w:h="16838" w:code="9"/>
      <w:pgMar w:top="142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D6" w:rsidRDefault="00875CD6" w:rsidP="00875CD6">
      <w:r>
        <w:separator/>
      </w:r>
    </w:p>
  </w:endnote>
  <w:endnote w:type="continuationSeparator" w:id="0">
    <w:p w:rsidR="00875CD6" w:rsidRDefault="00875CD6" w:rsidP="0087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D6" w:rsidRDefault="00875CD6" w:rsidP="00875CD6">
      <w:r>
        <w:separator/>
      </w:r>
    </w:p>
  </w:footnote>
  <w:footnote w:type="continuationSeparator" w:id="0">
    <w:p w:rsidR="00875CD6" w:rsidRDefault="00875CD6" w:rsidP="00875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0C" w:rsidRDefault="00050579" w:rsidP="003302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2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0C" w:rsidRDefault="00EE2D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0C" w:rsidRDefault="00EE2D40" w:rsidP="00C16B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CA1"/>
    <w:rsid w:val="00050579"/>
    <w:rsid w:val="001A7C38"/>
    <w:rsid w:val="001B1726"/>
    <w:rsid w:val="003F285B"/>
    <w:rsid w:val="00512CA1"/>
    <w:rsid w:val="00875CD6"/>
    <w:rsid w:val="009C648A"/>
    <w:rsid w:val="00D071CC"/>
    <w:rsid w:val="00EA1532"/>
    <w:rsid w:val="00EE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2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512C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512C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2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CA1"/>
  </w:style>
  <w:style w:type="paragraph" w:customStyle="1" w:styleId="ConsPlusNormal">
    <w:name w:val="ConsPlusNormal"/>
    <w:rsid w:val="00512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ate=10.02.2026" TargetMode="External"/><Relationship Id="rId13" Type="http://schemas.openxmlformats.org/officeDocument/2006/relationships/hyperlink" Target="https://login.consultant.ru/link/?req=doc&amp;base=LAW&amp;n=495181&amp;date=10.02.2026&amp;dst=10147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ate=10.02.2026&amp;dst=103434&amp;field=134" TargetMode="External"/><Relationship Id="rId12" Type="http://schemas.openxmlformats.org/officeDocument/2006/relationships/hyperlink" Target="https://login.consultant.ru/link/?req=doc&amp;base=LAW&amp;n=508376&amp;date=10.02.2026&amp;dst=100240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ate=10.02.2026&amp;dst=3146&amp;field=134" TargetMode="External"/><Relationship Id="rId11" Type="http://schemas.openxmlformats.org/officeDocument/2006/relationships/hyperlink" Target="https://login.consultant.ru/link/?req=doc&amp;base=LAW&amp;n=508370&amp;date=10.02.2026&amp;dst=101184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5710&amp;date=10.02.2026&amp;dst=10343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710&amp;date=10.02.2026&amp;dst=3146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3174</Words>
  <Characters>18093</Characters>
  <Application>Microsoft Office Word</Application>
  <DocSecurity>0</DocSecurity>
  <Lines>150</Lines>
  <Paragraphs>42</Paragraphs>
  <ScaleCrop>false</ScaleCrop>
  <Company/>
  <LinksUpToDate>false</LinksUpToDate>
  <CharactersWithSpaces>21225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4</cp:revision>
  <cp:lastPrinted>2026-03-18T09:00:00Z</cp:lastPrinted>
  <dcterms:created xsi:type="dcterms:W3CDTF">2026-03-18T08:32:00Z</dcterms:created>
  <dcterms:modified xsi:type="dcterms:W3CDTF">2026-03-18T09:01:00Z</dcterms:modified>
</cp:coreProperties>
</file>