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44" w:rsidRDefault="005F6C44" w:rsidP="005F6C44">
      <w:pPr>
        <w:tabs>
          <w:tab w:val="left" w:pos="935"/>
          <w:tab w:val="left" w:pos="112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ФИНАНСОВОЕ УПРАВЛЕНИЕ АДМИНИСТРАЦИИ</w:t>
      </w:r>
    </w:p>
    <w:p w:rsidR="005F6C44" w:rsidRPr="00D9792A" w:rsidRDefault="005F6C44" w:rsidP="005F6C44">
      <w:pPr>
        <w:tabs>
          <w:tab w:val="left" w:pos="935"/>
          <w:tab w:val="left" w:pos="1122"/>
        </w:tabs>
        <w:jc w:val="center"/>
        <w:rPr>
          <w:sz w:val="32"/>
          <w:szCs w:val="32"/>
        </w:rPr>
      </w:pPr>
      <w:r w:rsidRPr="00D9792A">
        <w:rPr>
          <w:sz w:val="32"/>
          <w:szCs w:val="32"/>
        </w:rPr>
        <w:t xml:space="preserve">АРГАЯШСКОГО МУНИЦИПАЛЬНОГО </w:t>
      </w:r>
      <w:r>
        <w:rPr>
          <w:sz w:val="32"/>
          <w:szCs w:val="32"/>
        </w:rPr>
        <w:t>ОКРУГА</w:t>
      </w:r>
    </w:p>
    <w:p w:rsidR="005F6C44" w:rsidRPr="00D9792A" w:rsidRDefault="005F6C44" w:rsidP="005F6C44">
      <w:pPr>
        <w:pStyle w:val="8"/>
        <w:rPr>
          <w:b/>
          <w:bCs/>
          <w:sz w:val="32"/>
          <w:szCs w:val="32"/>
        </w:rPr>
      </w:pPr>
      <w:r w:rsidRPr="00D9792A">
        <w:rPr>
          <w:b/>
          <w:bCs/>
          <w:sz w:val="32"/>
          <w:szCs w:val="32"/>
        </w:rPr>
        <w:t>ПРИКАЗ</w:t>
      </w:r>
    </w:p>
    <w:p w:rsidR="005F6C44" w:rsidRPr="00944604" w:rsidRDefault="005F6C44" w:rsidP="005F6C44">
      <w:pPr>
        <w:rPr>
          <w:szCs w:val="28"/>
        </w:rPr>
      </w:pPr>
    </w:p>
    <w:p w:rsidR="005F6C44" w:rsidRPr="00944604" w:rsidRDefault="0090033A" w:rsidP="005F6C44">
      <w:pPr>
        <w:jc w:val="center"/>
        <w:rPr>
          <w:szCs w:val="28"/>
        </w:rPr>
      </w:pPr>
      <w:r>
        <w:rPr>
          <w:noProof/>
          <w:szCs w:val="28"/>
          <w:lang w:eastAsia="en-US"/>
        </w:rPr>
        <w:pict>
          <v:line id="_x0000_s1027" style="position:absolute;left:0;text-align:left;z-index:251660288" from="0,5.55pt" to="486.2pt,5.55pt" strokeweight="4.5pt">
            <v:stroke linestyle="thickThin"/>
          </v:line>
        </w:pict>
      </w:r>
    </w:p>
    <w:p w:rsidR="005F6C44" w:rsidRPr="00466464" w:rsidRDefault="005F6C44" w:rsidP="005F6C44">
      <w:pPr>
        <w:rPr>
          <w:sz w:val="28"/>
          <w:szCs w:val="28"/>
        </w:rPr>
      </w:pPr>
      <w:r w:rsidRPr="00466464">
        <w:rPr>
          <w:sz w:val="28"/>
          <w:szCs w:val="28"/>
        </w:rPr>
        <w:t>«</w:t>
      </w:r>
      <w:r w:rsidR="004F678D" w:rsidRPr="00466464">
        <w:rPr>
          <w:sz w:val="28"/>
          <w:szCs w:val="28"/>
        </w:rPr>
        <w:t>30</w:t>
      </w:r>
      <w:r w:rsidRPr="00466464">
        <w:rPr>
          <w:sz w:val="28"/>
          <w:szCs w:val="28"/>
        </w:rPr>
        <w:t xml:space="preserve">» декабря  2025 г.                                         </w:t>
      </w:r>
      <w:r w:rsidR="00466464">
        <w:rPr>
          <w:sz w:val="28"/>
          <w:szCs w:val="28"/>
        </w:rPr>
        <w:t xml:space="preserve">                               </w:t>
      </w:r>
      <w:r w:rsidRPr="00466464">
        <w:rPr>
          <w:sz w:val="28"/>
          <w:szCs w:val="28"/>
        </w:rPr>
        <w:t xml:space="preserve">      № </w:t>
      </w:r>
      <w:r w:rsidR="004F678D" w:rsidRPr="00466464">
        <w:rPr>
          <w:sz w:val="28"/>
          <w:szCs w:val="28"/>
        </w:rPr>
        <w:t>01-06/47</w:t>
      </w:r>
    </w:p>
    <w:p w:rsidR="005F6C44" w:rsidRPr="00AF3B22" w:rsidRDefault="005F6C44" w:rsidP="006A58B8">
      <w:pPr>
        <w:jc w:val="both"/>
        <w:rPr>
          <w:sz w:val="28"/>
          <w:szCs w:val="28"/>
        </w:rPr>
      </w:pPr>
    </w:p>
    <w:p w:rsidR="00030CCE" w:rsidRDefault="006A58B8" w:rsidP="005F6C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F5D9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F6C44">
        <w:rPr>
          <w:rFonts w:ascii="Times New Roman" w:hAnsi="Times New Roman" w:cs="Times New Roman"/>
          <w:b w:val="0"/>
          <w:sz w:val="28"/>
          <w:szCs w:val="28"/>
        </w:rPr>
        <w:t>порядке</w:t>
      </w:r>
      <w:r w:rsidR="00030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6C44">
        <w:rPr>
          <w:rFonts w:ascii="Times New Roman" w:hAnsi="Times New Roman" w:cs="Times New Roman"/>
          <w:b w:val="0"/>
          <w:sz w:val="28"/>
          <w:szCs w:val="28"/>
        </w:rPr>
        <w:t>п</w:t>
      </w:r>
      <w:r w:rsidR="005F6C44" w:rsidRPr="005F6C44">
        <w:rPr>
          <w:rFonts w:ascii="Times New Roman" w:hAnsi="Times New Roman" w:cs="Times New Roman"/>
          <w:b w:val="0"/>
          <w:sz w:val="28"/>
          <w:szCs w:val="28"/>
        </w:rPr>
        <w:t>роведения операций</w:t>
      </w:r>
    </w:p>
    <w:p w:rsidR="005F6C44" w:rsidRDefault="005F6C44" w:rsidP="005F6C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со средствами бюджетных учреждений, </w:t>
      </w:r>
    </w:p>
    <w:p w:rsidR="00030CCE" w:rsidRDefault="005F6C44" w:rsidP="005F6C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автономных учреждений </w:t>
      </w:r>
    </w:p>
    <w:p w:rsidR="005F6C44" w:rsidRPr="005F6C44" w:rsidRDefault="005F6C44" w:rsidP="005F6C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Аргаяшского муниципального округа </w:t>
      </w:r>
    </w:p>
    <w:p w:rsidR="006A58B8" w:rsidRDefault="006A58B8" w:rsidP="006A58B8">
      <w:pPr>
        <w:jc w:val="both"/>
        <w:rPr>
          <w:sz w:val="28"/>
          <w:szCs w:val="28"/>
        </w:rPr>
      </w:pPr>
    </w:p>
    <w:p w:rsidR="006A58B8" w:rsidRPr="006A58B8" w:rsidRDefault="006A58B8" w:rsidP="006A58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8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CC642B">
          <w:rPr>
            <w:rFonts w:ascii="Times New Roman" w:hAnsi="Times New Roman" w:cs="Times New Roman"/>
            <w:sz w:val="28"/>
            <w:szCs w:val="28"/>
          </w:rPr>
          <w:t>частью 6 статьи 30</w:t>
        </w:r>
      </w:hyperlink>
      <w:r w:rsidRPr="006A58B8">
        <w:rPr>
          <w:rFonts w:ascii="Times New Roman" w:hAnsi="Times New Roman" w:cs="Times New Roman"/>
          <w:sz w:val="28"/>
          <w:szCs w:val="28"/>
        </w:rPr>
        <w:t xml:space="preserve"> Федерального закона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</w:t>
      </w:r>
      <w:hyperlink r:id="rId8" w:history="1">
        <w:r w:rsidRPr="00CC642B">
          <w:rPr>
            <w:rFonts w:ascii="Times New Roman" w:hAnsi="Times New Roman" w:cs="Times New Roman"/>
            <w:sz w:val="28"/>
            <w:szCs w:val="28"/>
          </w:rPr>
          <w:t>частями 3.4</w:t>
        </w:r>
      </w:hyperlink>
      <w:r w:rsidRPr="00CC642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C642B">
          <w:rPr>
            <w:rFonts w:ascii="Times New Roman" w:hAnsi="Times New Roman" w:cs="Times New Roman"/>
            <w:sz w:val="28"/>
            <w:szCs w:val="28"/>
          </w:rPr>
          <w:t>3.7</w:t>
        </w:r>
      </w:hyperlink>
      <w:r w:rsidRPr="00CC642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CC642B">
          <w:rPr>
            <w:rFonts w:ascii="Times New Roman" w:hAnsi="Times New Roman" w:cs="Times New Roman"/>
            <w:sz w:val="28"/>
            <w:szCs w:val="28"/>
          </w:rPr>
          <w:t>3.11 статьи 2</w:t>
        </w:r>
      </w:hyperlink>
      <w:r w:rsidRPr="006A58B8">
        <w:rPr>
          <w:rFonts w:ascii="Times New Roman" w:hAnsi="Times New Roman" w:cs="Times New Roman"/>
          <w:sz w:val="28"/>
          <w:szCs w:val="28"/>
        </w:rPr>
        <w:t xml:space="preserve"> Федерального закона "Об автономных учреждениях"</w:t>
      </w:r>
    </w:p>
    <w:p w:rsidR="006A58B8" w:rsidRPr="006A58B8" w:rsidRDefault="006A58B8" w:rsidP="006A58B8">
      <w:pPr>
        <w:jc w:val="both"/>
        <w:rPr>
          <w:sz w:val="28"/>
          <w:szCs w:val="28"/>
        </w:rPr>
      </w:pPr>
    </w:p>
    <w:p w:rsidR="006A58B8" w:rsidRDefault="006A58B8" w:rsidP="006A58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ПРИКАЗЫВАЮ:</w:t>
      </w:r>
    </w:p>
    <w:p w:rsidR="006A58B8" w:rsidRPr="005F6C44" w:rsidRDefault="006A58B8" w:rsidP="005F6C44">
      <w:pPr>
        <w:jc w:val="both"/>
        <w:rPr>
          <w:sz w:val="28"/>
          <w:szCs w:val="28"/>
        </w:rPr>
      </w:pPr>
    </w:p>
    <w:p w:rsidR="005F6C44" w:rsidRDefault="00466464" w:rsidP="00EC777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6A58B8" w:rsidRPr="005F6C44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r w:rsidR="005F6C44" w:rsidRPr="005F6C44">
        <w:rPr>
          <w:rFonts w:ascii="Times New Roman" w:hAnsi="Times New Roman" w:cs="Times New Roman"/>
          <w:b w:val="0"/>
          <w:sz w:val="28"/>
          <w:szCs w:val="28"/>
        </w:rPr>
        <w:t>Порядок  проведения операций со средствами бюджетных учреждений, автономных учреждений  Аргаяшского муниципального округа.</w:t>
      </w:r>
    </w:p>
    <w:p w:rsidR="00466464" w:rsidRDefault="00466464" w:rsidP="00EC7776">
      <w:pPr>
        <w:pStyle w:val="ConsPlusTitle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Признать приказ ф</w:t>
      </w:r>
      <w:r w:rsidRPr="005F6C44">
        <w:rPr>
          <w:rFonts w:ascii="Times New Roman" w:hAnsi="Times New Roman" w:cs="Times New Roman"/>
          <w:b w:val="0"/>
          <w:sz w:val="28"/>
          <w:szCs w:val="28"/>
        </w:rPr>
        <w:t>инансового управления Аргаяшского муниципального района от 29.12.2018 года №01-06/101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Порядке проведения кассовых операций со средствами районных бюджетных </w:t>
      </w:r>
      <w:r w:rsidR="00EC7776">
        <w:rPr>
          <w:rFonts w:ascii="Times New Roman" w:hAnsi="Times New Roman" w:cs="Times New Roman"/>
          <w:b w:val="0"/>
          <w:sz w:val="28"/>
          <w:szCs w:val="28"/>
        </w:rPr>
        <w:t>учреждений, районных автономных учреждений» утратившим силу.</w:t>
      </w:r>
    </w:p>
    <w:p w:rsidR="00EC7776" w:rsidRPr="005F6C44" w:rsidRDefault="00EC7776" w:rsidP="00466464">
      <w:pPr>
        <w:pStyle w:val="ConsPlusTitle"/>
        <w:tabs>
          <w:tab w:val="left" w:pos="709"/>
        </w:tabs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Настоящий приказ подлежит официальному опубликованию.</w:t>
      </w:r>
    </w:p>
    <w:p w:rsidR="005F6C44" w:rsidRPr="005F6C44" w:rsidRDefault="00EC7776" w:rsidP="00EC777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4. </w:t>
      </w:r>
      <w:r w:rsidR="005F6C44" w:rsidRPr="005F6C44">
        <w:rPr>
          <w:rFonts w:ascii="Times New Roman" w:hAnsi="Times New Roman" w:cs="Times New Roman"/>
          <w:b w:val="0"/>
          <w:sz w:val="28"/>
          <w:szCs w:val="28"/>
        </w:rPr>
        <w:t xml:space="preserve">Организацию выполнения настоящего приказа </w:t>
      </w:r>
      <w:r w:rsidR="00193FB9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5F6C44" w:rsidRPr="005F6C44" w:rsidRDefault="00EC7776" w:rsidP="00466464">
      <w:pPr>
        <w:pStyle w:val="ConsPlusTitle"/>
        <w:tabs>
          <w:tab w:val="left" w:pos="709"/>
        </w:tabs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466464">
        <w:rPr>
          <w:rFonts w:ascii="Times New Roman" w:hAnsi="Times New Roman" w:cs="Times New Roman"/>
          <w:b w:val="0"/>
          <w:sz w:val="28"/>
          <w:szCs w:val="28"/>
        </w:rPr>
        <w:t>. </w:t>
      </w:r>
      <w:r w:rsidR="005F6C44" w:rsidRPr="005F6C44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 01.01.2026 год</w:t>
      </w:r>
      <w:r>
        <w:rPr>
          <w:rFonts w:ascii="Times New Roman" w:hAnsi="Times New Roman" w:cs="Times New Roman"/>
          <w:b w:val="0"/>
          <w:sz w:val="28"/>
          <w:szCs w:val="28"/>
        </w:rPr>
        <w:t>а.</w:t>
      </w:r>
    </w:p>
    <w:p w:rsidR="006A58B8" w:rsidRDefault="006A58B8" w:rsidP="006A58B8">
      <w:pPr>
        <w:jc w:val="both"/>
      </w:pPr>
    </w:p>
    <w:p w:rsidR="006A58B8" w:rsidRDefault="006A58B8" w:rsidP="006A58B8">
      <w:pPr>
        <w:jc w:val="both"/>
      </w:pPr>
    </w:p>
    <w:p w:rsidR="00EC7776" w:rsidRDefault="00EC7776" w:rsidP="006A58B8">
      <w:pPr>
        <w:jc w:val="both"/>
      </w:pPr>
    </w:p>
    <w:p w:rsidR="006A58B8" w:rsidRDefault="006A58B8" w:rsidP="006A58B8">
      <w:pPr>
        <w:jc w:val="both"/>
      </w:pPr>
    </w:p>
    <w:p w:rsidR="005F6C44" w:rsidRPr="005913EF" w:rsidRDefault="005F6C44" w:rsidP="005F6C44">
      <w:pPr>
        <w:rPr>
          <w:color w:val="000000"/>
          <w:sz w:val="28"/>
          <w:szCs w:val="28"/>
        </w:rPr>
      </w:pPr>
      <w:r w:rsidRPr="005913EF">
        <w:rPr>
          <w:color w:val="000000"/>
          <w:sz w:val="28"/>
          <w:szCs w:val="28"/>
        </w:rPr>
        <w:t>Заместитель главы,</w:t>
      </w:r>
    </w:p>
    <w:p w:rsidR="005F6C44" w:rsidRPr="005913EF" w:rsidRDefault="005F6C44" w:rsidP="005F6C44">
      <w:pPr>
        <w:ind w:right="-471"/>
        <w:rPr>
          <w:color w:val="000000"/>
          <w:sz w:val="28"/>
          <w:szCs w:val="28"/>
        </w:rPr>
      </w:pPr>
      <w:r w:rsidRPr="005913EF">
        <w:rPr>
          <w:color w:val="000000"/>
          <w:sz w:val="28"/>
          <w:szCs w:val="28"/>
        </w:rPr>
        <w:t>начальник финансового управления                                                   Н.П. Савинов</w:t>
      </w:r>
    </w:p>
    <w:p w:rsidR="006A58B8" w:rsidRPr="005913EF" w:rsidRDefault="006A58B8" w:rsidP="006A58B8">
      <w:pPr>
        <w:jc w:val="both"/>
        <w:rPr>
          <w:sz w:val="28"/>
          <w:szCs w:val="28"/>
        </w:rPr>
      </w:pPr>
    </w:p>
    <w:p w:rsidR="006A58B8" w:rsidRPr="005913EF" w:rsidRDefault="006A58B8" w:rsidP="006A58B8">
      <w:pPr>
        <w:jc w:val="both"/>
        <w:rPr>
          <w:sz w:val="28"/>
          <w:szCs w:val="28"/>
        </w:rPr>
      </w:pPr>
    </w:p>
    <w:p w:rsidR="006A58B8" w:rsidRDefault="006A58B8" w:rsidP="006A58B8">
      <w:pPr>
        <w:jc w:val="both"/>
      </w:pPr>
    </w:p>
    <w:p w:rsidR="006A58B8" w:rsidRDefault="006A58B8" w:rsidP="006A58B8">
      <w:pPr>
        <w:jc w:val="both"/>
      </w:pPr>
    </w:p>
    <w:p w:rsidR="005C4319" w:rsidRDefault="005F6C44" w:rsidP="00EC7776">
      <w:pPr>
        <w:autoSpaceDE/>
        <w:autoSpaceDN/>
        <w:spacing w:after="200" w:line="276" w:lineRule="auto"/>
      </w:pPr>
      <w:r>
        <w:br w:type="page"/>
      </w:r>
    </w:p>
    <w:p w:rsidR="005C4319" w:rsidRPr="005A3223" w:rsidRDefault="005C43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32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F6C44" w:rsidRDefault="005A3223" w:rsidP="005F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319" w:rsidRPr="005A3223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5F6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EC7776" w:rsidRDefault="005F6C44" w:rsidP="005F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A3223">
        <w:rPr>
          <w:rFonts w:ascii="Times New Roman" w:hAnsi="Times New Roman" w:cs="Times New Roman"/>
          <w:sz w:val="28"/>
          <w:szCs w:val="28"/>
        </w:rPr>
        <w:t>Аргаяшского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319" w:rsidRPr="005A3223" w:rsidRDefault="005A3223" w:rsidP="005F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F6C44">
        <w:rPr>
          <w:rFonts w:ascii="Times New Roman" w:hAnsi="Times New Roman" w:cs="Times New Roman"/>
          <w:sz w:val="28"/>
          <w:szCs w:val="28"/>
        </w:rPr>
        <w:t>округа</w:t>
      </w:r>
    </w:p>
    <w:p w:rsidR="005C4319" w:rsidRPr="005A3223" w:rsidRDefault="005C4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3223">
        <w:rPr>
          <w:rFonts w:ascii="Times New Roman" w:hAnsi="Times New Roman" w:cs="Times New Roman"/>
          <w:sz w:val="28"/>
          <w:szCs w:val="28"/>
        </w:rPr>
        <w:t xml:space="preserve">от </w:t>
      </w:r>
      <w:r w:rsidR="00E75F5C">
        <w:rPr>
          <w:rFonts w:ascii="Times New Roman" w:hAnsi="Times New Roman" w:cs="Times New Roman"/>
          <w:sz w:val="28"/>
          <w:szCs w:val="28"/>
        </w:rPr>
        <w:t xml:space="preserve">30.12.2025 </w:t>
      </w:r>
      <w:r w:rsidRPr="005A3223">
        <w:rPr>
          <w:rFonts w:ascii="Times New Roman" w:hAnsi="Times New Roman" w:cs="Times New Roman"/>
          <w:sz w:val="28"/>
          <w:szCs w:val="28"/>
        </w:rPr>
        <w:t xml:space="preserve"> </w:t>
      </w:r>
      <w:r w:rsidR="005F6C44">
        <w:rPr>
          <w:rFonts w:ascii="Times New Roman" w:hAnsi="Times New Roman" w:cs="Times New Roman"/>
          <w:sz w:val="28"/>
          <w:szCs w:val="28"/>
        </w:rPr>
        <w:t>№</w:t>
      </w:r>
      <w:r w:rsidR="00E75F5C">
        <w:rPr>
          <w:rFonts w:ascii="Times New Roman" w:hAnsi="Times New Roman" w:cs="Times New Roman"/>
          <w:sz w:val="28"/>
          <w:szCs w:val="28"/>
        </w:rPr>
        <w:t xml:space="preserve"> 01-06/47</w:t>
      </w:r>
    </w:p>
    <w:p w:rsidR="005C4319" w:rsidRPr="005A3223" w:rsidRDefault="005C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319" w:rsidRPr="005F6C44" w:rsidRDefault="005C4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5F6C4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C4319" w:rsidRPr="00EC7776" w:rsidRDefault="005F6C44" w:rsidP="00EC7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роведения операций со средствами бюджетных учреждений, автономных учреждений  Аргаяшского муниципального округа </w:t>
      </w:r>
    </w:p>
    <w:p w:rsidR="005C4319" w:rsidRPr="005A3223" w:rsidRDefault="005C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1. Настоящий Порядок проведения кассовых операций со средствами </w:t>
      </w:r>
      <w:r w:rsidR="005A3223" w:rsidRPr="005F6C44">
        <w:rPr>
          <w:rFonts w:ascii="Times New Roman" w:hAnsi="Times New Roman" w:cs="Times New Roman"/>
          <w:sz w:val="28"/>
          <w:szCs w:val="28"/>
        </w:rPr>
        <w:t>район</w:t>
      </w:r>
      <w:r w:rsidRPr="005F6C44">
        <w:rPr>
          <w:rFonts w:ascii="Times New Roman" w:hAnsi="Times New Roman" w:cs="Times New Roman"/>
          <w:sz w:val="28"/>
          <w:szCs w:val="28"/>
        </w:rPr>
        <w:t xml:space="preserve">ных бюджетных учреждений, </w:t>
      </w:r>
      <w:r w:rsidR="005A3223" w:rsidRPr="005F6C44">
        <w:rPr>
          <w:rFonts w:ascii="Times New Roman" w:hAnsi="Times New Roman" w:cs="Times New Roman"/>
          <w:sz w:val="28"/>
          <w:szCs w:val="28"/>
        </w:rPr>
        <w:t>район</w:t>
      </w:r>
      <w:r w:rsidRPr="005F6C44">
        <w:rPr>
          <w:rFonts w:ascii="Times New Roman" w:hAnsi="Times New Roman" w:cs="Times New Roman"/>
          <w:sz w:val="28"/>
          <w:szCs w:val="28"/>
        </w:rPr>
        <w:t>ных автономных учреждений (далее именуется Порядок) устанавливает порядок проведения финансов</w:t>
      </w:r>
      <w:r w:rsidR="005A3223" w:rsidRPr="005F6C44">
        <w:rPr>
          <w:rFonts w:ascii="Times New Roman" w:hAnsi="Times New Roman" w:cs="Times New Roman"/>
          <w:sz w:val="28"/>
          <w:szCs w:val="28"/>
        </w:rPr>
        <w:t xml:space="preserve">ым управлением Аргаяшского муниципального района </w:t>
      </w:r>
      <w:r w:rsidRPr="005F6C44">
        <w:rPr>
          <w:rFonts w:ascii="Times New Roman" w:hAnsi="Times New Roman" w:cs="Times New Roman"/>
          <w:sz w:val="28"/>
          <w:szCs w:val="28"/>
        </w:rPr>
        <w:t>(далее именуется фин</w:t>
      </w:r>
      <w:r w:rsidR="005A3223" w:rsidRPr="005F6C44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5F6C44">
        <w:rPr>
          <w:rFonts w:ascii="Times New Roman" w:hAnsi="Times New Roman" w:cs="Times New Roman"/>
          <w:sz w:val="28"/>
          <w:szCs w:val="28"/>
        </w:rPr>
        <w:t xml:space="preserve">) кассовых операций со средствами </w:t>
      </w:r>
      <w:r w:rsidR="005A3223" w:rsidRPr="005F6C44">
        <w:rPr>
          <w:rFonts w:ascii="Times New Roman" w:hAnsi="Times New Roman" w:cs="Times New Roman"/>
          <w:sz w:val="28"/>
          <w:szCs w:val="28"/>
        </w:rPr>
        <w:t>район</w:t>
      </w:r>
      <w:r w:rsidRPr="005F6C44">
        <w:rPr>
          <w:rFonts w:ascii="Times New Roman" w:hAnsi="Times New Roman" w:cs="Times New Roman"/>
          <w:sz w:val="28"/>
          <w:szCs w:val="28"/>
        </w:rPr>
        <w:t xml:space="preserve">ных бюджетных учреждений и </w:t>
      </w:r>
      <w:r w:rsidR="005A3223" w:rsidRPr="005F6C44">
        <w:rPr>
          <w:rFonts w:ascii="Times New Roman" w:hAnsi="Times New Roman" w:cs="Times New Roman"/>
          <w:sz w:val="28"/>
          <w:szCs w:val="28"/>
        </w:rPr>
        <w:t>район</w:t>
      </w:r>
      <w:r w:rsidRPr="005F6C44">
        <w:rPr>
          <w:rFonts w:ascii="Times New Roman" w:hAnsi="Times New Roman" w:cs="Times New Roman"/>
          <w:sz w:val="28"/>
          <w:szCs w:val="28"/>
        </w:rPr>
        <w:t>ных автономных учреждений (далее именуются учреждения) на лицевых счетах, открытых им в фин</w:t>
      </w:r>
      <w:r w:rsidR="005A3223" w:rsidRPr="005F6C44">
        <w:rPr>
          <w:rFonts w:ascii="Times New Roman" w:hAnsi="Times New Roman" w:cs="Times New Roman"/>
          <w:sz w:val="28"/>
          <w:szCs w:val="28"/>
        </w:rPr>
        <w:t>ансовом управлении</w:t>
      </w:r>
      <w:r w:rsidRPr="005F6C44">
        <w:rPr>
          <w:rFonts w:ascii="Times New Roman" w:hAnsi="Times New Roman" w:cs="Times New Roman"/>
          <w:sz w:val="28"/>
          <w:szCs w:val="28"/>
        </w:rPr>
        <w:t>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2. Операции со средствами учреждений осуществляются от имени и по поручению учреждения в пределах остатка средств, поступивших учреждению.</w:t>
      </w:r>
    </w:p>
    <w:p w:rsidR="005C4319" w:rsidRPr="005F6C44" w:rsidRDefault="005C4319" w:rsidP="005F6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Информационный обмен между учреждением и фин</w:t>
      </w:r>
      <w:r w:rsidR="005A3223" w:rsidRPr="005F6C44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5F6C4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Pr="005F6C44">
        <w:rPr>
          <w:rFonts w:ascii="Times New Roman" w:hAnsi="Times New Roman" w:cs="Times New Roman"/>
          <w:sz w:val="28"/>
          <w:szCs w:val="28"/>
        </w:rPr>
        <w:t>при наличии электронного документооборота с применением электронной подписи в соответствии с законодательством Российской Федерации на основании</w:t>
      </w:r>
      <w:proofErr w:type="gramEnd"/>
      <w:r w:rsidRPr="005F6C44">
        <w:rPr>
          <w:rFonts w:ascii="Times New Roman" w:hAnsi="Times New Roman" w:cs="Times New Roman"/>
          <w:sz w:val="28"/>
          <w:szCs w:val="28"/>
        </w:rPr>
        <w:t xml:space="preserve"> соглашения об обмене электронными документами, заключенного между учреждением и фин</w:t>
      </w:r>
      <w:r w:rsidR="005A3223" w:rsidRPr="005F6C44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5F6C44">
        <w:rPr>
          <w:rFonts w:ascii="Times New Roman" w:hAnsi="Times New Roman" w:cs="Times New Roman"/>
          <w:sz w:val="28"/>
          <w:szCs w:val="28"/>
        </w:rPr>
        <w:t xml:space="preserve"> (далее именуется электронный документооборот).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Если у учреждения или фина</w:t>
      </w:r>
      <w:r w:rsidR="005A3223" w:rsidRPr="005F6C44">
        <w:rPr>
          <w:rFonts w:ascii="Times New Roman" w:hAnsi="Times New Roman" w:cs="Times New Roman"/>
          <w:sz w:val="28"/>
          <w:szCs w:val="28"/>
        </w:rPr>
        <w:t>нсового управления</w:t>
      </w:r>
      <w:r w:rsidRPr="005F6C44">
        <w:rPr>
          <w:rFonts w:ascii="Times New Roman" w:hAnsi="Times New Roman" w:cs="Times New Roman"/>
          <w:sz w:val="28"/>
          <w:szCs w:val="28"/>
        </w:rPr>
        <w:t xml:space="preserve"> отсутствует возможность электронного документооборота, обмен информацией между ними осуществляется с применением документооборота на бумажных носителях с одновременным представлением в электронном виде.</w:t>
      </w:r>
    </w:p>
    <w:p w:rsidR="0011309E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3. </w:t>
      </w:r>
      <w:r w:rsidR="0011309E" w:rsidRPr="005F6C44">
        <w:rPr>
          <w:rFonts w:ascii="Times New Roman" w:hAnsi="Times New Roman" w:cs="Times New Roman"/>
          <w:sz w:val="28"/>
          <w:szCs w:val="28"/>
        </w:rPr>
        <w:t>Финансовое управление для учета средств учреждений открывает в Управлении Федерального казначейства по Челябинской области (далее именуется - УФК) казначейский счет для осуществления и отражения операций с денежными средствами бюджетных, автономных учреждений округа (далее именуется - казначейский счет).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F6C44">
        <w:rPr>
          <w:rFonts w:ascii="Times New Roman" w:hAnsi="Times New Roman" w:cs="Times New Roman"/>
          <w:sz w:val="28"/>
          <w:szCs w:val="28"/>
        </w:rPr>
        <w:t xml:space="preserve">Проведение кассовых выплат за счет средств, предоставленных учреждениям в виде субсидий в соответствии с </w:t>
      </w:r>
      <w:hyperlink r:id="rId11" w:history="1">
        <w:r w:rsidRPr="005F6C44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5F6C44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именуются целевые субсидии), осуществляется после проверки фин</w:t>
      </w:r>
      <w:r w:rsidR="00153CFF" w:rsidRPr="005F6C44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5F6C44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возникновение денежных обязательств, и соответствия содержания операции кодам видов расходов бюджета и целям предоставления субсидии в </w:t>
      </w:r>
      <w:hyperlink r:id="rId13" w:history="1">
        <w:r w:rsidRPr="005F6C4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F6C44">
        <w:rPr>
          <w:rFonts w:ascii="Times New Roman" w:hAnsi="Times New Roman" w:cs="Times New Roman"/>
          <w:sz w:val="28"/>
          <w:szCs w:val="28"/>
        </w:rPr>
        <w:t>, установленном приказом финансов</w:t>
      </w:r>
      <w:r w:rsidR="00153CFF" w:rsidRPr="005F6C44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153CFF" w:rsidRPr="005F6C4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5F6C44">
        <w:rPr>
          <w:rFonts w:ascii="Times New Roman" w:hAnsi="Times New Roman" w:cs="Times New Roman"/>
          <w:sz w:val="28"/>
          <w:szCs w:val="28"/>
        </w:rPr>
        <w:t xml:space="preserve"> от </w:t>
      </w:r>
      <w:r w:rsidR="004F678D">
        <w:rPr>
          <w:rFonts w:ascii="Times New Roman" w:hAnsi="Times New Roman" w:cs="Times New Roman"/>
          <w:sz w:val="28"/>
          <w:szCs w:val="28"/>
        </w:rPr>
        <w:t>29.12.2025</w:t>
      </w:r>
      <w:r w:rsidRPr="005F6C44">
        <w:rPr>
          <w:rFonts w:ascii="Times New Roman" w:hAnsi="Times New Roman" w:cs="Times New Roman"/>
          <w:sz w:val="28"/>
          <w:szCs w:val="28"/>
        </w:rPr>
        <w:t xml:space="preserve"> N </w:t>
      </w:r>
      <w:r w:rsidR="004F678D">
        <w:rPr>
          <w:rFonts w:ascii="Times New Roman" w:hAnsi="Times New Roman" w:cs="Times New Roman"/>
          <w:sz w:val="28"/>
          <w:szCs w:val="28"/>
        </w:rPr>
        <w:t>01-06/32</w:t>
      </w:r>
      <w:r w:rsidRPr="005F6C44">
        <w:rPr>
          <w:rFonts w:ascii="Times New Roman" w:hAnsi="Times New Roman" w:cs="Times New Roman"/>
          <w:sz w:val="28"/>
          <w:szCs w:val="28"/>
        </w:rPr>
        <w:t xml:space="preserve"> "</w:t>
      </w:r>
      <w:r w:rsidR="0011309E" w:rsidRPr="005F6C44">
        <w:rPr>
          <w:rFonts w:ascii="Times New Roman" w:hAnsi="Times New Roman" w:cs="Times New Roman"/>
          <w:sz w:val="28"/>
          <w:szCs w:val="28"/>
        </w:rPr>
        <w:t xml:space="preserve">О порядке санкционирования расходов бюджетных, автономных учреждений Аргаяшского муниципального округа, источником финансового </w:t>
      </w:r>
      <w:r w:rsidR="0011309E" w:rsidRPr="005F6C44">
        <w:rPr>
          <w:rFonts w:ascii="Times New Roman" w:hAnsi="Times New Roman" w:cs="Times New Roman"/>
          <w:sz w:val="28"/>
          <w:szCs w:val="28"/>
        </w:rPr>
        <w:lastRenderedPageBreak/>
        <w:t>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</w:r>
      <w:r w:rsidRPr="005F6C44">
        <w:rPr>
          <w:rFonts w:ascii="Times New Roman" w:hAnsi="Times New Roman" w:cs="Times New Roman"/>
          <w:sz w:val="28"/>
          <w:szCs w:val="28"/>
        </w:rPr>
        <w:t>" (далее именуется Порядок санкционирования).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F6C44">
        <w:rPr>
          <w:rFonts w:ascii="Times New Roman" w:hAnsi="Times New Roman" w:cs="Times New Roman"/>
          <w:sz w:val="28"/>
          <w:szCs w:val="28"/>
        </w:rPr>
        <w:t>Для проведения кассовых выплат учреждение представляет в фин</w:t>
      </w:r>
      <w:r w:rsidR="00C43864" w:rsidRPr="005F6C44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5F6C44">
        <w:rPr>
          <w:rFonts w:ascii="Times New Roman" w:hAnsi="Times New Roman" w:cs="Times New Roman"/>
          <w:sz w:val="28"/>
          <w:szCs w:val="28"/>
        </w:rPr>
        <w:t xml:space="preserve"> в электронном виде и (или) на бумажном носителе в двух экземплярах, оформленные подписями и оттиском печати учреждения, имеющимися в карточке с образцами подписей и оттиска печати, </w:t>
      </w:r>
      <w:hyperlink w:anchor="P114" w:history="1">
        <w:r w:rsidRPr="005F6C44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на выплату средств (далее именуется Заявка) (приложение 1), в случае если представление документов, подтверждающих возникновение денежных обязательств, не требуется, </w:t>
      </w:r>
      <w:hyperlink w:anchor="P168" w:history="1">
        <w:r w:rsidRPr="005F6C44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Заявок (приложение 2).</w:t>
      </w:r>
      <w:proofErr w:type="gramEnd"/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6. Первый экземпляр </w:t>
      </w:r>
      <w:hyperlink w:anchor="P114" w:history="1">
        <w:r w:rsidRPr="005F6C44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на бумажном носителе оформляется подписями и оттиском печати учреждения, имеющимися в карточке с образцами подписей и оттиска печати.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Заявка действительна в течение трех рабочих дней с момента ее оформления в электронном виде. Заявки, срок действия которых истек, подлежат отказу.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случае если дата, указанная в Заявке на бумажном носителе не соответствует дате ее фактического представления в фин</w:t>
      </w:r>
      <w:r w:rsidR="00C43864" w:rsidRPr="005F6C44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5F6C44">
        <w:rPr>
          <w:rFonts w:ascii="Times New Roman" w:hAnsi="Times New Roman" w:cs="Times New Roman"/>
          <w:sz w:val="28"/>
          <w:szCs w:val="28"/>
        </w:rPr>
        <w:t>, представитель учреждения должен указать на Заявке дату фактического представления, заверенную подписью этого представителя.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7. Финансовое управление принимает Заявку к исполнению в случае выполнения следующих условий:</w:t>
      </w:r>
    </w:p>
    <w:p w:rsidR="008B1563" w:rsidRPr="005F6C44" w:rsidRDefault="0090033A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14" w:history="1">
        <w:r w:rsidR="008B1563" w:rsidRPr="005F6C44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8B1563" w:rsidRPr="005F6C44">
        <w:rPr>
          <w:rFonts w:ascii="Times New Roman" w:hAnsi="Times New Roman" w:cs="Times New Roman"/>
          <w:sz w:val="28"/>
          <w:szCs w:val="28"/>
        </w:rPr>
        <w:t xml:space="preserve"> соответствует требованиям, установленным настоящим Порядком, Порядком санкционирования;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Заявке, представленной на бумажном носителе, подписи и оттиск печати соответствуют образцам подписей и оттиска печати в карточке с образцами подписей и оттиска печати и отсутствуют исправления;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указанные в Заявке коды видов расходов бюджета соответствуют текстовому назначению платежа и являются действующими на момент представления Заявки;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суммы, указанные в Заявке не превышают остаток на соответствующем лицевом счете учреждения, указанном в Заявке или не превышают остаток по принятому обязательству.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7.1. При оплате контрактов, подлежащих включению в соответствии со </w:t>
      </w:r>
      <w:hyperlink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5F6C44">
          <w:rPr>
            <w:rFonts w:ascii="Times New Roman" w:hAnsi="Times New Roman" w:cs="Times New Roman"/>
            <w:color w:val="0000FF"/>
            <w:sz w:val="28"/>
            <w:szCs w:val="28"/>
          </w:rPr>
          <w:t>статьей 103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реестр контрактов, заключенных заказчиками (далее именуется - реестр контрактов), финансовое управление дополнительно осуществляет проверку Заявки по следующим направлениям: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1) наличие информации о контракте в реестре контрактов;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2) наличие кода вида реестра - "02";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3) соответствие уникального номера реестровой записи, идентификатора информации об этапе исполнения контракта (далее именуется - идентификатор этапа) в случае, если контрактом предусмотрена выплата аванса, указанных в Заявке, уникальному номеру реестровой записи, </w:t>
      </w:r>
      <w:r w:rsidRPr="005F6C44">
        <w:rPr>
          <w:rFonts w:ascii="Times New Roman" w:hAnsi="Times New Roman" w:cs="Times New Roman"/>
          <w:sz w:val="28"/>
          <w:szCs w:val="28"/>
        </w:rPr>
        <w:lastRenderedPageBreak/>
        <w:t>идентификатору этапа, указанных в реестре контрактов;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4) соответствие уникального номера реестровой записи, идентификатора информации о </w:t>
      </w:r>
      <w:proofErr w:type="gramStart"/>
      <w:r w:rsidRPr="005F6C44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5F6C44">
        <w:rPr>
          <w:rFonts w:ascii="Times New Roman" w:hAnsi="Times New Roman" w:cs="Times New Roman"/>
          <w:sz w:val="28"/>
          <w:szCs w:val="28"/>
        </w:rPr>
        <w:t xml:space="preserve"> о приемке поставленного товара, выполненной работы (ее результатов), оказанных услуг (далее именуется - идентификатор документа о приемке), указанных в Заявке, уникальному номеру реестровой записи, идентификатору документа о приемке, указанных в реестре контрактов;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F6C4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5F6C44">
        <w:rPr>
          <w:rFonts w:ascii="Times New Roman" w:hAnsi="Times New Roman" w:cs="Times New Roman"/>
          <w:sz w:val="28"/>
          <w:szCs w:val="28"/>
        </w:rPr>
        <w:t xml:space="preserve"> суммы в Заявке над суммой, указанной в этапе исполнения контракта, информация о котором размещена в реестре контрактов, если контрактом предусмотрена выплата аванса;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5F6C4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5F6C44">
        <w:rPr>
          <w:rFonts w:ascii="Times New Roman" w:hAnsi="Times New Roman" w:cs="Times New Roman"/>
          <w:sz w:val="28"/>
          <w:szCs w:val="28"/>
        </w:rPr>
        <w:t xml:space="preserve"> суммы в Заявке над суммой, указанной в документе о приемке, информация о котором размещена в реестре контрактов.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8. Представленные учреждением в фин</w:t>
      </w:r>
      <w:r w:rsidR="00C43864" w:rsidRPr="005F6C44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5F6C4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4" w:history="1">
        <w:r w:rsidRPr="005F6C44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соответствующие требованиям настоящего Порядка, исполняются не позднее второго рабочего дня, следующего за днем их представления в фин</w:t>
      </w:r>
      <w:r w:rsidR="00C43864" w:rsidRPr="005F6C44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5F6C44">
        <w:rPr>
          <w:rFonts w:ascii="Times New Roman" w:hAnsi="Times New Roman" w:cs="Times New Roman"/>
          <w:sz w:val="28"/>
          <w:szCs w:val="28"/>
        </w:rPr>
        <w:t>. На Заявках, представленных учреждением на бумажном носителе, проставляется отметка "Принято к исполнению".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C44">
        <w:rPr>
          <w:rFonts w:ascii="Times New Roman" w:hAnsi="Times New Roman" w:cs="Times New Roman"/>
          <w:sz w:val="28"/>
          <w:szCs w:val="28"/>
        </w:rPr>
        <w:t>В случае если форма или содержание представленных учреждением Заявок, не соответствуют установленным требованиям или подписи ответственных лиц будут признаны не соответствующими образцам, имеющимся в карточке с образцами подписей и оттиска печати (в случае представления документов на бумажном носителе), фин</w:t>
      </w:r>
      <w:r w:rsidR="00C43864" w:rsidRPr="005F6C44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5F6C44">
        <w:rPr>
          <w:rFonts w:ascii="Times New Roman" w:hAnsi="Times New Roman" w:cs="Times New Roman"/>
          <w:sz w:val="28"/>
          <w:szCs w:val="28"/>
        </w:rPr>
        <w:t xml:space="preserve"> возвращает учреждению не позднее рабочего дня, следующего за днем представления учреждением Заявки, один экземпляр на бумажном носителе с отметкой "Отказано</w:t>
      </w:r>
      <w:proofErr w:type="gramEnd"/>
      <w:r w:rsidRPr="005F6C44">
        <w:rPr>
          <w:rFonts w:ascii="Times New Roman" w:hAnsi="Times New Roman" w:cs="Times New Roman"/>
          <w:sz w:val="28"/>
          <w:szCs w:val="28"/>
        </w:rPr>
        <w:t>" и указанием в электронном виде причины возврата.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На основании принятых к исполнению Заявок финансовое управление формирует распоряжения о совершении казначейских платежей (в виде платежных поручений) и направляет их в УФК для осуществления казначейских платежей.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Заявка в электронном виде может быть отозвана до момента направления финансовым управлением распоряжений о совершении казначейских платежей (в виде платежных поручений) в УФК, на основании представленного учреждением письменного запроса на отзыв Заявки.</w:t>
      </w:r>
    </w:p>
    <w:p w:rsidR="005C4319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9. Возврат плательщику ошибочно перечисленных или излишне полученных учреждением денежных средств, отраженных на соответствующем лицевом счете учреждения, а также перечисление и возврат заимствованных средств от приносящей доход деятельности, осуществляется на основании представленной учреждением в фин</w:t>
      </w:r>
      <w:r w:rsidR="00C43864" w:rsidRPr="005F6C44">
        <w:rPr>
          <w:rFonts w:ascii="Times New Roman" w:hAnsi="Times New Roman" w:cs="Times New Roman"/>
          <w:sz w:val="28"/>
          <w:szCs w:val="28"/>
        </w:rPr>
        <w:t>ансовое управление</w:t>
      </w:r>
      <w:r w:rsidRPr="005F6C44">
        <w:rPr>
          <w:rFonts w:ascii="Times New Roman" w:hAnsi="Times New Roman" w:cs="Times New Roman"/>
          <w:sz w:val="28"/>
          <w:szCs w:val="28"/>
        </w:rPr>
        <w:t xml:space="preserve"> Заявки с указанием кода бюджетной классификации Российской Федерации, относящегося к группе доходов.</w:t>
      </w:r>
    </w:p>
    <w:p w:rsidR="008B1563" w:rsidRPr="005F6C44" w:rsidRDefault="005C4319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10. </w:t>
      </w:r>
      <w:r w:rsidR="008B1563" w:rsidRPr="005F6C44">
        <w:rPr>
          <w:rFonts w:ascii="Times New Roman" w:hAnsi="Times New Roman" w:cs="Times New Roman"/>
          <w:sz w:val="28"/>
          <w:szCs w:val="28"/>
        </w:rPr>
        <w:t>Операции по поступлению и перечислению денежных средств отражаются финансовым управлением на соответствующем лицевом счете учреждения в день получения выписки по казначейскому счету.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11. Перечисление учреждением средств учреждению, которому открыт лицевой счет в рамках одного и того же казначейского счета, осуществляется на основании представленной учреждением в финансовое управление заявки.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lastRenderedPageBreak/>
        <w:t>Финансовое управление обрабатывает указанную Заявку и проводит операции без отражения на казначейском счете для отражения на соответствующих лицевых счетах.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12. Восстановление расходов текущего финансового года отражается на соответствующем лицевом счете </w:t>
      </w:r>
      <w:proofErr w:type="gramStart"/>
      <w:r w:rsidRPr="005F6C44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5F6C44">
        <w:rPr>
          <w:rFonts w:ascii="Times New Roman" w:hAnsi="Times New Roman" w:cs="Times New Roman"/>
          <w:sz w:val="28"/>
          <w:szCs w:val="28"/>
        </w:rPr>
        <w:t xml:space="preserve"> на основании расчетных документов по возврату сумм дебиторской задолженности, образовавшейся у учреждения, с указанием в них реквизитов платежных документов, по которым были ранее произведены перечисления, с отражением по тем же кодам видов расходов бюджета (кодам видов расходов бюджета и кодам субсидии), по которым осуществлялся расход.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Учреждение информирует дебитора о реквизитах расчетного документа с учетом следующих особенностей: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поле "ИНН" получателя указывается идентификационный номер налогоплательщика - учреждения;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поле "КПП" получателя указывается код причины постановки учреждения на налоговый учет;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поле "</w:t>
      </w:r>
      <w:proofErr w:type="spellStart"/>
      <w:r w:rsidRPr="005F6C44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F6C44">
        <w:rPr>
          <w:rFonts w:ascii="Times New Roman" w:hAnsi="Times New Roman" w:cs="Times New Roman"/>
          <w:sz w:val="28"/>
          <w:szCs w:val="28"/>
        </w:rPr>
        <w:t>. N" получателя денежных сре</w:t>
      </w:r>
      <w:proofErr w:type="gramStart"/>
      <w:r w:rsidRPr="005F6C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F6C44">
        <w:rPr>
          <w:rFonts w:ascii="Times New Roman" w:hAnsi="Times New Roman" w:cs="Times New Roman"/>
          <w:sz w:val="28"/>
          <w:szCs w:val="28"/>
        </w:rPr>
        <w:t xml:space="preserve">оставляется номер казначейского счета, открытого </w:t>
      </w:r>
      <w:r w:rsidR="00100371"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Pr="005F6C44">
        <w:rPr>
          <w:rFonts w:ascii="Times New Roman" w:hAnsi="Times New Roman" w:cs="Times New Roman"/>
          <w:sz w:val="28"/>
          <w:szCs w:val="28"/>
        </w:rPr>
        <w:t xml:space="preserve"> в УФК;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в поле "Банк получателя" указывается наименование банка затем после запятой "//УФК по Челябинской области </w:t>
      </w:r>
      <w:proofErr w:type="gramStart"/>
      <w:r w:rsidRPr="005F6C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F6C44">
        <w:rPr>
          <w:rFonts w:ascii="Times New Roman" w:hAnsi="Times New Roman" w:cs="Times New Roman"/>
          <w:sz w:val="28"/>
          <w:szCs w:val="28"/>
        </w:rPr>
        <w:t>. Челябинск";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поле "БИК" банка получателя указывается БИК территориального органа Федерального казначейства (ТОФК);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поле "</w:t>
      </w:r>
      <w:proofErr w:type="spellStart"/>
      <w:r w:rsidRPr="005F6C44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5F6C44">
        <w:rPr>
          <w:rFonts w:ascii="Times New Roman" w:hAnsi="Times New Roman" w:cs="Times New Roman"/>
          <w:sz w:val="28"/>
          <w:szCs w:val="28"/>
        </w:rPr>
        <w:t>. N" банка получателя указывается номер единого казначейского счета;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поле "Получатель" указываются наименование "Финансовое управление администрации Аргаяшского муниципального округа", в скобках - полное или сокращенное наименование учреждения, номер лицевого счета учреждения, открытого в финансовом управлении;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поле "Назначение платежа" перед текстовым указанием назначения платежа указываются код субсидии и код видов расходов бюджета, номер сведений об обязательстве и договоре, если ведется учет обязательств по этому коду видов расходов.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13. Для уточнения поступлений учреждение представляет в финансовое управление </w:t>
      </w:r>
      <w:hyperlink w:anchor="P292" w:tooltip="СПРАВКА-УВЕДОМЛЕНИЕ N ____">
        <w:r w:rsidRPr="005F6C44">
          <w:rPr>
            <w:rFonts w:ascii="Times New Roman" w:hAnsi="Times New Roman" w:cs="Times New Roman"/>
            <w:color w:val="0000FF"/>
            <w:sz w:val="28"/>
            <w:szCs w:val="28"/>
          </w:rPr>
          <w:t>справку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- уведомление в двух экземплярах (приложение 3), заверенную подписями руководителя и главного бухгалтера учреждения (их заместителей) собственноручно либо с использованием электронной подписи при электронном документообороте.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В случае уточнения поступлений, относящихся к целевым субсидиям, </w:t>
      </w:r>
      <w:hyperlink w:anchor="P292" w:tooltip="СПРАВКА-УВЕДОМЛЕНИЕ N ____">
        <w:r w:rsidRPr="005F6C44">
          <w:rPr>
            <w:rFonts w:ascii="Times New Roman" w:hAnsi="Times New Roman" w:cs="Times New Roman"/>
            <w:color w:val="0000FF"/>
            <w:sz w:val="28"/>
            <w:szCs w:val="28"/>
          </w:rPr>
          <w:t>справка-уведомление</w:t>
        </w:r>
      </w:hyperlink>
      <w:r w:rsidRPr="005F6C44">
        <w:rPr>
          <w:rFonts w:ascii="Times New Roman" w:hAnsi="Times New Roman" w:cs="Times New Roman"/>
          <w:sz w:val="28"/>
          <w:szCs w:val="28"/>
        </w:rPr>
        <w:t xml:space="preserve"> представляется после согласования уточнений с исполнительным органом Аргаяшского муниципального округа, осуществляющим функции и полномочия учредителя в отношении учреждения.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Финансовое управление на основании представленной учреждением информации проводит зачисление уточненных средств на соответствующем лицевом счете учреждения, указанном в </w:t>
      </w:r>
      <w:hyperlink w:anchor="P292" w:tooltip="СПРАВКА-УВЕДОМЛЕНИЕ N ____">
        <w:r w:rsidRPr="005F6C44">
          <w:rPr>
            <w:rFonts w:ascii="Times New Roman" w:hAnsi="Times New Roman" w:cs="Times New Roman"/>
            <w:color w:val="0000FF"/>
            <w:sz w:val="28"/>
            <w:szCs w:val="28"/>
          </w:rPr>
          <w:t>справке-уведомлении</w:t>
        </w:r>
      </w:hyperlink>
      <w:r w:rsidRPr="005F6C44">
        <w:rPr>
          <w:rFonts w:ascii="Times New Roman" w:hAnsi="Times New Roman" w:cs="Times New Roman"/>
          <w:sz w:val="28"/>
          <w:szCs w:val="28"/>
        </w:rPr>
        <w:t>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 xml:space="preserve">14. Учреждение вправе в течение финансового года уточнить коды </w:t>
      </w:r>
      <w:r w:rsidRPr="005F6C44">
        <w:rPr>
          <w:rFonts w:ascii="Times New Roman" w:hAnsi="Times New Roman" w:cs="Times New Roman"/>
          <w:sz w:val="28"/>
          <w:szCs w:val="28"/>
        </w:rPr>
        <w:lastRenderedPageBreak/>
        <w:t>видов расходов бюджета и (или) коды субсидии, номер сведений об обязательстве и договоре, по которым операции были отражены на соответствующем лицевом счете учреждения, на основании представленной учреждением справки-уведомления.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В случае уточнения операций по целевым субсидиям справка-уведомление представляется после согласования с исполнительным органом Аргаяшского муниципального округа, осуществляющим функции и полномочия учредителя в отношении учреждения.</w:t>
      </w:r>
    </w:p>
    <w:p w:rsidR="008B1563" w:rsidRPr="005F6C44" w:rsidRDefault="008B1563" w:rsidP="00EC77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t>15. Учреждения при завершении текущего финансового года обеспечивают представление в финансовое управление платежных документов для проведения операций, не позднее сроков, установленных Графиком завершения операций по исполнению бюджета округа и операций бюджетных учреждений округа и автономных учреждений округа в текущем финансовом году, утвержденным приказом финансового управления.</w:t>
      </w:r>
    </w:p>
    <w:p w:rsidR="008B1563" w:rsidRPr="005F6C44" w:rsidRDefault="008B1563" w:rsidP="00EC7776">
      <w:pPr>
        <w:autoSpaceDE/>
        <w:autoSpaceDN/>
        <w:ind w:firstLine="709"/>
        <w:jc w:val="both"/>
        <w:rPr>
          <w:sz w:val="28"/>
          <w:szCs w:val="28"/>
        </w:rPr>
      </w:pPr>
      <w:r w:rsidRPr="005F6C44">
        <w:rPr>
          <w:sz w:val="28"/>
          <w:szCs w:val="28"/>
        </w:rPr>
        <w:br w:type="page"/>
      </w:r>
    </w:p>
    <w:p w:rsidR="008B1563" w:rsidRPr="005F6C44" w:rsidRDefault="005F6C44" w:rsidP="005F6C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A3981" w:rsidRPr="005F6C44" w:rsidRDefault="002A3981" w:rsidP="002A398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порядку</w:t>
      </w:r>
    </w:p>
    <w:p w:rsidR="002A3981" w:rsidRPr="005F6C44" w:rsidRDefault="002A3981" w:rsidP="002A398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роведения операций со средствами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бюджетных учреждений,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автономных учреждений 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Аргаяшского муниципального округа </w:t>
      </w:r>
    </w:p>
    <w:p w:rsidR="005F6C44" w:rsidRPr="005F6C44" w:rsidRDefault="005F6C44" w:rsidP="005F6C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B1563" w:rsidRDefault="008B1563" w:rsidP="005F6C44">
      <w:pPr>
        <w:pStyle w:val="ConsPlusNormal"/>
        <w:jc w:val="right"/>
      </w:pPr>
    </w:p>
    <w:p w:rsidR="008B1563" w:rsidRDefault="008B1563" w:rsidP="008B1563">
      <w:pPr>
        <w:pStyle w:val="ConsPlusNonformat"/>
        <w:jc w:val="both"/>
      </w:pPr>
      <w:r>
        <w:t xml:space="preserve">                                                            ┌─────────────┐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                                │             </w:t>
      </w:r>
      <w:proofErr w:type="spellStart"/>
      <w:r>
        <w:t>│</w:t>
      </w:r>
      <w:proofErr w:type="spellEnd"/>
    </w:p>
    <w:p w:rsidR="008B1563" w:rsidRDefault="008B1563" w:rsidP="008B1563">
      <w:pPr>
        <w:pStyle w:val="ConsPlusNonformat"/>
        <w:jc w:val="both"/>
      </w:pPr>
      <w:r>
        <w:t xml:space="preserve">                                                            └─────────────┘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                                         ┌────┐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                                         │    </w:t>
      </w:r>
      <w:proofErr w:type="spellStart"/>
      <w:r>
        <w:t>│</w:t>
      </w:r>
      <w:proofErr w:type="spellEnd"/>
    </w:p>
    <w:p w:rsidR="008B1563" w:rsidRDefault="008B1563" w:rsidP="008B1563">
      <w:pPr>
        <w:pStyle w:val="ConsPlusNonformat"/>
        <w:jc w:val="both"/>
      </w:pPr>
      <w:r>
        <w:t xml:space="preserve">                                                                     └────┘</w:t>
      </w:r>
    </w:p>
    <w:p w:rsidR="008B1563" w:rsidRDefault="008B1563" w:rsidP="008B1563">
      <w:pPr>
        <w:pStyle w:val="ConsPlusNonformat"/>
        <w:jc w:val="both"/>
      </w:pPr>
      <w:bookmarkStart w:id="1" w:name="P142"/>
      <w:bookmarkEnd w:id="1"/>
      <w:r>
        <w:t xml:space="preserve">    Заявка на выплату специальных средств N __________ ____________________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                    Дата        Вид платежа</w:t>
      </w:r>
    </w:p>
    <w:p w:rsidR="008B1563" w:rsidRDefault="008B1563" w:rsidP="008B1563">
      <w:pPr>
        <w:pStyle w:val="ConsPlusNonformat"/>
        <w:jc w:val="both"/>
      </w:pPr>
    </w:p>
    <w:p w:rsidR="008B1563" w:rsidRDefault="008B1563" w:rsidP="008B1563">
      <w:pPr>
        <w:pStyle w:val="ConsPlusNonformat"/>
        <w:jc w:val="both"/>
      </w:pPr>
      <w:r>
        <w:t>Сумма   │</w:t>
      </w:r>
    </w:p>
    <w:p w:rsidR="008B1563" w:rsidRDefault="008B1563" w:rsidP="008B1563">
      <w:pPr>
        <w:pStyle w:val="ConsPlusNonformat"/>
        <w:jc w:val="both"/>
      </w:pPr>
      <w:proofErr w:type="spellStart"/>
      <w:r>
        <w:t>прописью│</w:t>
      </w:r>
      <w:proofErr w:type="spellEnd"/>
    </w:p>
    <w:p w:rsidR="008B1563" w:rsidRDefault="008B1563" w:rsidP="008B1563">
      <w:pPr>
        <w:pStyle w:val="ConsPlusNonformat"/>
        <w:jc w:val="both"/>
      </w:pPr>
      <w:r>
        <w:t>────────┴────────┬──────────┬─────────┬────────────────────────────────────</w:t>
      </w:r>
    </w:p>
    <w:p w:rsidR="008B1563" w:rsidRDefault="008B1563" w:rsidP="008B1563">
      <w:pPr>
        <w:pStyle w:val="ConsPlusNonformat"/>
        <w:jc w:val="both"/>
      </w:pPr>
      <w:r>
        <w:t xml:space="preserve">ИНН              │КПП       </w:t>
      </w:r>
      <w:proofErr w:type="spellStart"/>
      <w:r>
        <w:t>│Сумма</w:t>
      </w:r>
      <w:proofErr w:type="spellEnd"/>
      <w:r>
        <w:t xml:space="preserve">    │</w:t>
      </w:r>
    </w:p>
    <w:p w:rsidR="008B1563" w:rsidRDefault="008B1563" w:rsidP="008B1563">
      <w:pPr>
        <w:pStyle w:val="ConsPlusNonformat"/>
        <w:jc w:val="both"/>
      </w:pPr>
      <w:r>
        <w:t>─────────────────┴──────────┤         │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├─────────┼────────────────────────────────────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</w:t>
      </w:r>
      <w:proofErr w:type="spellStart"/>
      <w:r>
        <w:t>│Сч</w:t>
      </w:r>
      <w:proofErr w:type="spellEnd"/>
      <w:r>
        <w:t>. N    │</w:t>
      </w:r>
    </w:p>
    <w:p w:rsidR="008B1563" w:rsidRDefault="008B1563" w:rsidP="008B1563">
      <w:pPr>
        <w:pStyle w:val="ConsPlusNonformat"/>
        <w:jc w:val="both"/>
      </w:pPr>
      <w:r>
        <w:t xml:space="preserve">Плательщик                  │         </w:t>
      </w:r>
      <w:proofErr w:type="spellStart"/>
      <w:r>
        <w:t>│</w:t>
      </w:r>
      <w:proofErr w:type="spellEnd"/>
    </w:p>
    <w:p w:rsidR="008B1563" w:rsidRDefault="008B1563" w:rsidP="008B1563">
      <w:pPr>
        <w:pStyle w:val="ConsPlusNonformat"/>
        <w:jc w:val="both"/>
      </w:pPr>
      <w:r>
        <w:t>────────────────────────────┼─────────┤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│БИК      │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├─────────┤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</w:t>
      </w:r>
      <w:proofErr w:type="spellStart"/>
      <w:r>
        <w:t>│Сч</w:t>
      </w:r>
      <w:proofErr w:type="spellEnd"/>
      <w:r>
        <w:t>. N    │</w:t>
      </w:r>
    </w:p>
    <w:p w:rsidR="008B1563" w:rsidRDefault="008B1563" w:rsidP="008B1563">
      <w:pPr>
        <w:pStyle w:val="ConsPlusNonformat"/>
        <w:jc w:val="both"/>
      </w:pPr>
      <w:r>
        <w:t xml:space="preserve">Банк плательщика            │         </w:t>
      </w:r>
      <w:proofErr w:type="spellStart"/>
      <w:r>
        <w:t>│</w:t>
      </w:r>
      <w:proofErr w:type="spellEnd"/>
    </w:p>
    <w:p w:rsidR="008B1563" w:rsidRDefault="008B1563" w:rsidP="008B1563">
      <w:pPr>
        <w:pStyle w:val="ConsPlusNonformat"/>
        <w:jc w:val="both"/>
      </w:pPr>
      <w:r>
        <w:t>────────────────────────────┼─────────┼────────────────────────────────────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│БИК      │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├─────────┤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</w:t>
      </w:r>
      <w:proofErr w:type="spellStart"/>
      <w:r>
        <w:t>│Сч</w:t>
      </w:r>
      <w:proofErr w:type="spellEnd"/>
      <w:r>
        <w:t>. N    │</w:t>
      </w:r>
    </w:p>
    <w:p w:rsidR="008B1563" w:rsidRDefault="008B1563" w:rsidP="008B1563">
      <w:pPr>
        <w:pStyle w:val="ConsPlusNonformat"/>
        <w:jc w:val="both"/>
      </w:pPr>
      <w:r>
        <w:t xml:space="preserve">Банк получателя             │         </w:t>
      </w:r>
      <w:proofErr w:type="spellStart"/>
      <w:r>
        <w:t>│</w:t>
      </w:r>
      <w:proofErr w:type="spellEnd"/>
    </w:p>
    <w:p w:rsidR="008B1563" w:rsidRDefault="008B1563" w:rsidP="008B1563">
      <w:pPr>
        <w:pStyle w:val="ConsPlusNonformat"/>
        <w:jc w:val="both"/>
      </w:pPr>
      <w:r>
        <w:t>─────────────────┬──────────┼─────────┤</w:t>
      </w:r>
    </w:p>
    <w:p w:rsidR="008B1563" w:rsidRDefault="008B1563" w:rsidP="008B1563">
      <w:pPr>
        <w:pStyle w:val="ConsPlusNonformat"/>
        <w:jc w:val="both"/>
      </w:pPr>
      <w:r>
        <w:t xml:space="preserve">ИНН              │КПП       </w:t>
      </w:r>
      <w:proofErr w:type="spellStart"/>
      <w:r>
        <w:t>│Сч</w:t>
      </w:r>
      <w:proofErr w:type="spellEnd"/>
      <w:r>
        <w:t>. N    │</w:t>
      </w:r>
    </w:p>
    <w:p w:rsidR="008B1563" w:rsidRDefault="008B1563" w:rsidP="008B1563">
      <w:pPr>
        <w:pStyle w:val="ConsPlusNonformat"/>
        <w:jc w:val="both"/>
      </w:pPr>
      <w:r>
        <w:t>─────────────────┴──────────┤         │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├─────────┼───────┬───────────┬────────────────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</w:t>
      </w:r>
      <w:proofErr w:type="spellStart"/>
      <w:r>
        <w:t>│Вид</w:t>
      </w:r>
      <w:proofErr w:type="spellEnd"/>
      <w:r>
        <w:t xml:space="preserve"> оп.  │       </w:t>
      </w:r>
      <w:proofErr w:type="spellStart"/>
      <w:r>
        <w:t>│Срок</w:t>
      </w:r>
      <w:proofErr w:type="spellEnd"/>
      <w:r>
        <w:t xml:space="preserve"> плат. │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├─────────┼───────┼───────────┼────────────────</w:t>
      </w:r>
    </w:p>
    <w:p w:rsidR="008B1563" w:rsidRDefault="008B1563" w:rsidP="008B1563">
      <w:pPr>
        <w:pStyle w:val="ConsPlusNonformat"/>
        <w:jc w:val="both"/>
      </w:pPr>
      <w:r>
        <w:t xml:space="preserve">                            </w:t>
      </w:r>
      <w:proofErr w:type="spellStart"/>
      <w:r>
        <w:t>│Наз</w:t>
      </w:r>
      <w:proofErr w:type="spellEnd"/>
      <w:r>
        <w:t xml:space="preserve">. пл. │       </w:t>
      </w:r>
      <w:proofErr w:type="spellStart"/>
      <w:r>
        <w:t>│Очер</w:t>
      </w:r>
      <w:proofErr w:type="spellEnd"/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п</w:t>
      </w:r>
      <w:proofErr w:type="gramEnd"/>
      <w:r>
        <w:t>лат.│</w:t>
      </w:r>
      <w:proofErr w:type="spellEnd"/>
    </w:p>
    <w:p w:rsidR="008B1563" w:rsidRDefault="008B1563" w:rsidP="008B1563">
      <w:pPr>
        <w:pStyle w:val="ConsPlusNonformat"/>
        <w:jc w:val="both"/>
      </w:pPr>
      <w:r>
        <w:t xml:space="preserve">                            ├─────────┼───────┼───────────┼────────────────</w:t>
      </w:r>
    </w:p>
    <w:p w:rsidR="008B1563" w:rsidRDefault="008B1563" w:rsidP="008B1563">
      <w:pPr>
        <w:pStyle w:val="ConsPlusNonformat"/>
        <w:jc w:val="both"/>
      </w:pPr>
      <w:r>
        <w:t xml:space="preserve">Получатель                  </w:t>
      </w:r>
      <w:proofErr w:type="spellStart"/>
      <w:r>
        <w:t>│Код</w:t>
      </w:r>
      <w:proofErr w:type="spellEnd"/>
      <w:r>
        <w:t xml:space="preserve">      │       </w:t>
      </w:r>
      <w:proofErr w:type="spellStart"/>
      <w:r>
        <w:t>│Рез</w:t>
      </w:r>
      <w:proofErr w:type="spellEnd"/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оле  │</w:t>
      </w:r>
    </w:p>
    <w:p w:rsidR="008B1563" w:rsidRDefault="008B1563" w:rsidP="008B1563">
      <w:pPr>
        <w:pStyle w:val="ConsPlusNonformat"/>
        <w:jc w:val="both"/>
      </w:pPr>
      <w:r>
        <w:t>─────────────────┬────┬───┬─┴────────┬┴───────┴───────┬───┴──┬─────────────</w:t>
      </w:r>
    </w:p>
    <w:p w:rsidR="008B1563" w:rsidRDefault="008B1563" w:rsidP="008B1563">
      <w:pPr>
        <w:pStyle w:val="ConsPlusNonformat"/>
        <w:jc w:val="both"/>
      </w:pPr>
      <w:r>
        <w:t xml:space="preserve">                 │    </w:t>
      </w:r>
      <w:proofErr w:type="spellStart"/>
      <w:r>
        <w:t>│</w:t>
      </w:r>
      <w:proofErr w:type="spellEnd"/>
      <w:r>
        <w:t xml:space="preserve">   </w:t>
      </w:r>
      <w:proofErr w:type="spellStart"/>
      <w:r>
        <w:t>│</w:t>
      </w:r>
      <w:proofErr w:type="spellEnd"/>
      <w:r>
        <w:t xml:space="preserve">          </w:t>
      </w:r>
      <w:proofErr w:type="spellStart"/>
      <w:r>
        <w:t>│</w:t>
      </w:r>
      <w:proofErr w:type="spellEnd"/>
      <w:r>
        <w:t xml:space="preserve">      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8B1563" w:rsidRDefault="008B1563" w:rsidP="008B1563">
      <w:pPr>
        <w:pStyle w:val="ConsPlusNonformat"/>
        <w:jc w:val="both"/>
      </w:pPr>
      <w:r>
        <w:t>─────────────────┴────┴───┴──────────┴────────────────┴──────┴─────────────</w:t>
      </w:r>
    </w:p>
    <w:p w:rsidR="008B1563" w:rsidRDefault="008B1563" w:rsidP="008B1563">
      <w:pPr>
        <w:pStyle w:val="ConsPlusNonformat"/>
        <w:jc w:val="both"/>
      </w:pPr>
    </w:p>
    <w:p w:rsidR="008B1563" w:rsidRDefault="008B1563" w:rsidP="008B1563">
      <w:pPr>
        <w:pStyle w:val="ConsPlusNonformat"/>
        <w:jc w:val="both"/>
      </w:pPr>
      <w:r>
        <w:t xml:space="preserve">    Назначение платежа</w:t>
      </w:r>
    </w:p>
    <w:p w:rsidR="008B1563" w:rsidRDefault="008B1563" w:rsidP="008B15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B1563" w:rsidRDefault="008B1563" w:rsidP="008B1563">
      <w:pPr>
        <w:pStyle w:val="ConsPlusNonformat"/>
        <w:jc w:val="both"/>
      </w:pPr>
      <w:r>
        <w:t xml:space="preserve">          Подписи                Отметки банка</w:t>
      </w:r>
    </w:p>
    <w:p w:rsidR="008B1563" w:rsidRDefault="008B1563" w:rsidP="008B1563">
      <w:pPr>
        <w:pStyle w:val="ConsPlusNonformat"/>
        <w:jc w:val="both"/>
      </w:pPr>
    </w:p>
    <w:p w:rsidR="008B1563" w:rsidRDefault="008B1563" w:rsidP="008B1563">
      <w:pPr>
        <w:pStyle w:val="ConsPlusNonformat"/>
        <w:jc w:val="both"/>
      </w:pPr>
      <w:r>
        <w:t xml:space="preserve">    М.П. __________________</w:t>
      </w:r>
    </w:p>
    <w:p w:rsidR="008B1563" w:rsidRDefault="008B1563" w:rsidP="008B1563">
      <w:pPr>
        <w:pStyle w:val="ConsPlusNormal"/>
        <w:jc w:val="both"/>
      </w:pPr>
    </w:p>
    <w:p w:rsidR="008B1563" w:rsidRDefault="008B1563" w:rsidP="008B1563">
      <w:pPr>
        <w:pStyle w:val="ConsPlusNormal"/>
        <w:jc w:val="both"/>
      </w:pPr>
    </w:p>
    <w:p w:rsidR="008B1563" w:rsidRDefault="008B1563" w:rsidP="008B1563">
      <w:pPr>
        <w:pStyle w:val="ConsPlusNormal"/>
        <w:jc w:val="both"/>
      </w:pPr>
    </w:p>
    <w:p w:rsidR="005F6C44" w:rsidRDefault="005F6C44">
      <w:pPr>
        <w:autoSpaceDE/>
        <w:autoSpaceDN/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2A3981" w:rsidRPr="005F6C44" w:rsidRDefault="002A3981" w:rsidP="002A39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A3981" w:rsidRPr="005F6C44" w:rsidRDefault="002A3981" w:rsidP="002A398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порядку</w:t>
      </w:r>
    </w:p>
    <w:p w:rsidR="002A3981" w:rsidRPr="005F6C44" w:rsidRDefault="002A3981" w:rsidP="002A398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роведения операций со средствами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бюджетных учреждений,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автономных учреждений 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Аргаяшского муниципального округа </w:t>
      </w:r>
    </w:p>
    <w:p w:rsidR="008B1563" w:rsidRDefault="008B1563" w:rsidP="008B1563">
      <w:pPr>
        <w:pStyle w:val="ConsPlusNormal"/>
        <w:jc w:val="right"/>
      </w:pPr>
    </w:p>
    <w:p w:rsidR="008B1563" w:rsidRDefault="008B1563" w:rsidP="008B1563">
      <w:pPr>
        <w:pStyle w:val="ConsPlusNormal"/>
        <w:spacing w:after="1"/>
      </w:pPr>
    </w:p>
    <w:p w:rsidR="008B1563" w:rsidRDefault="008B1563" w:rsidP="008B1563">
      <w:pPr>
        <w:pStyle w:val="ConsPlusNormal"/>
        <w:jc w:val="both"/>
      </w:pPr>
    </w:p>
    <w:p w:rsidR="008B1563" w:rsidRDefault="008B1563" w:rsidP="008B1563">
      <w:pPr>
        <w:pStyle w:val="ConsPlusNormal"/>
        <w:jc w:val="center"/>
      </w:pPr>
      <w:bookmarkStart w:id="2" w:name="P196"/>
      <w:bookmarkEnd w:id="2"/>
      <w:r>
        <w:rPr>
          <w:sz w:val="24"/>
        </w:rPr>
        <w:t>Реестр</w:t>
      </w:r>
    </w:p>
    <w:p w:rsidR="008B1563" w:rsidRDefault="008B1563" w:rsidP="008B1563">
      <w:pPr>
        <w:pStyle w:val="ConsPlusNormal"/>
        <w:jc w:val="center"/>
      </w:pPr>
      <w:r>
        <w:rPr>
          <w:sz w:val="24"/>
        </w:rPr>
        <w:t>заявок на выплату средств</w:t>
      </w:r>
    </w:p>
    <w:p w:rsidR="008B1563" w:rsidRDefault="008B1563" w:rsidP="008B156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1"/>
        <w:gridCol w:w="681"/>
        <w:gridCol w:w="749"/>
        <w:gridCol w:w="460"/>
        <w:gridCol w:w="422"/>
        <w:gridCol w:w="613"/>
        <w:gridCol w:w="712"/>
        <w:gridCol w:w="712"/>
        <w:gridCol w:w="632"/>
        <w:gridCol w:w="784"/>
        <w:gridCol w:w="929"/>
        <w:gridCol w:w="916"/>
        <w:gridCol w:w="732"/>
        <w:gridCol w:w="454"/>
      </w:tblGrid>
      <w:tr w:rsidR="008B1563" w:rsidTr="002A3981">
        <w:tc>
          <w:tcPr>
            <w:tcW w:w="681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w="681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дата документа</w:t>
            </w:r>
          </w:p>
        </w:tc>
        <w:tc>
          <w:tcPr>
            <w:tcW w:w="749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плательщик</w:t>
            </w:r>
          </w:p>
        </w:tc>
        <w:tc>
          <w:tcPr>
            <w:tcW w:w="460" w:type="dxa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номер л/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22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КВФО</w:t>
            </w:r>
          </w:p>
        </w:tc>
        <w:tc>
          <w:tcPr>
            <w:tcW w:w="613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код субсидии</w:t>
            </w:r>
          </w:p>
        </w:tc>
        <w:tc>
          <w:tcPr>
            <w:tcW w:w="712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получатель</w:t>
            </w:r>
          </w:p>
        </w:tc>
        <w:tc>
          <w:tcPr>
            <w:tcW w:w="712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счет получателя</w:t>
            </w:r>
          </w:p>
        </w:tc>
        <w:tc>
          <w:tcPr>
            <w:tcW w:w="632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вид операции</w:t>
            </w:r>
          </w:p>
        </w:tc>
        <w:tc>
          <w:tcPr>
            <w:tcW w:w="784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очередность</w:t>
            </w:r>
          </w:p>
        </w:tc>
        <w:tc>
          <w:tcPr>
            <w:tcW w:w="929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идентификатор платежа</w:t>
            </w:r>
          </w:p>
        </w:tc>
        <w:tc>
          <w:tcPr>
            <w:tcW w:w="916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Аналитический код</w:t>
            </w:r>
          </w:p>
        </w:tc>
        <w:tc>
          <w:tcPr>
            <w:tcW w:w="732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назначение платежа</w:t>
            </w:r>
          </w:p>
        </w:tc>
        <w:tc>
          <w:tcPr>
            <w:tcW w:w="454" w:type="dxa"/>
            <w:vAlign w:val="center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сумма</w:t>
            </w:r>
          </w:p>
        </w:tc>
      </w:tr>
      <w:tr w:rsidR="008B1563" w:rsidTr="002A3981"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49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460" w:type="dxa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22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632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4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929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916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32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454" w:type="dxa"/>
            <w:vAlign w:val="bottom"/>
          </w:tcPr>
          <w:p w:rsidR="008B1563" w:rsidRDefault="008B1563" w:rsidP="00466464">
            <w:pPr>
              <w:pStyle w:val="ConsPlusNormal"/>
              <w:jc w:val="center"/>
            </w:pPr>
            <w:r>
              <w:rPr>
                <w:sz w:val="24"/>
              </w:rPr>
              <w:t>14</w:t>
            </w:r>
          </w:p>
        </w:tc>
      </w:tr>
      <w:tr w:rsidR="008B1563" w:rsidTr="002A3981"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49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60" w:type="dxa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2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13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3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84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929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916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3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</w:tr>
      <w:tr w:rsidR="008B1563" w:rsidTr="002A3981"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49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60" w:type="dxa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2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13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3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84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929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916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3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</w:tr>
      <w:tr w:rsidR="008B1563" w:rsidTr="002A3981"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</w:pPr>
            <w:r>
              <w:rPr>
                <w:sz w:val="24"/>
              </w:rPr>
              <w:t>итого:</w:t>
            </w:r>
          </w:p>
        </w:tc>
        <w:tc>
          <w:tcPr>
            <w:tcW w:w="681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49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60" w:type="dxa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2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13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1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63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84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929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916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732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8B1563" w:rsidRDefault="008B1563" w:rsidP="00466464">
            <w:pPr>
              <w:pStyle w:val="ConsPlusNormal"/>
            </w:pPr>
          </w:p>
        </w:tc>
      </w:tr>
    </w:tbl>
    <w:p w:rsidR="008B1563" w:rsidRDefault="008B1563" w:rsidP="008B1563">
      <w:pPr>
        <w:pStyle w:val="ConsPlusNormal"/>
        <w:jc w:val="both"/>
      </w:pPr>
    </w:p>
    <w:p w:rsidR="008B1563" w:rsidRDefault="008B1563" w:rsidP="008B1563">
      <w:pPr>
        <w:pStyle w:val="ConsPlusNonformat"/>
        <w:jc w:val="both"/>
      </w:pPr>
      <w:r>
        <w:t>Руководитель ________________________</w:t>
      </w:r>
    </w:p>
    <w:p w:rsidR="008B1563" w:rsidRDefault="008B1563" w:rsidP="008B1563">
      <w:pPr>
        <w:pStyle w:val="ConsPlusNonformat"/>
        <w:jc w:val="both"/>
      </w:pPr>
      <w:r>
        <w:t xml:space="preserve">                     (подпись)</w:t>
      </w:r>
    </w:p>
    <w:p w:rsidR="008B1563" w:rsidRDefault="008B1563" w:rsidP="008B1563">
      <w:pPr>
        <w:pStyle w:val="ConsPlusNonformat"/>
        <w:jc w:val="both"/>
      </w:pPr>
    </w:p>
    <w:p w:rsidR="008B1563" w:rsidRDefault="008B1563" w:rsidP="008B1563">
      <w:pPr>
        <w:pStyle w:val="ConsPlusNonformat"/>
        <w:jc w:val="both"/>
      </w:pPr>
      <w:r>
        <w:t>Главный бухгалтер ___________________</w:t>
      </w:r>
    </w:p>
    <w:p w:rsidR="008B1563" w:rsidRDefault="008B1563" w:rsidP="008B1563">
      <w:pPr>
        <w:pStyle w:val="ConsPlusNonformat"/>
        <w:jc w:val="both"/>
      </w:pPr>
      <w:r>
        <w:t xml:space="preserve">                     (подпись)</w:t>
      </w:r>
    </w:p>
    <w:p w:rsidR="008B1563" w:rsidRDefault="008B1563" w:rsidP="008B1563">
      <w:pPr>
        <w:pStyle w:val="ConsPlusNonformat"/>
        <w:jc w:val="both"/>
      </w:pPr>
    </w:p>
    <w:p w:rsidR="008B1563" w:rsidRDefault="008B1563" w:rsidP="008B1563">
      <w:pPr>
        <w:pStyle w:val="ConsPlusNonformat"/>
        <w:jc w:val="both"/>
      </w:pPr>
      <w:r>
        <w:t>М.П.</w:t>
      </w:r>
    </w:p>
    <w:p w:rsidR="008B1563" w:rsidRDefault="008B1563" w:rsidP="008B1563">
      <w:pPr>
        <w:pStyle w:val="ConsPlusNormal"/>
        <w:jc w:val="both"/>
      </w:pPr>
    </w:p>
    <w:p w:rsidR="008B1563" w:rsidRDefault="008B1563" w:rsidP="008B1563">
      <w:pPr>
        <w:pStyle w:val="ConsPlusNormal"/>
        <w:jc w:val="both"/>
      </w:pPr>
    </w:p>
    <w:p w:rsidR="002A3981" w:rsidRDefault="002A3981">
      <w:pPr>
        <w:autoSpaceDE/>
        <w:autoSpaceDN/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8B1563" w:rsidRDefault="008B1563" w:rsidP="008B1563">
      <w:pPr>
        <w:pStyle w:val="ConsPlusNormal"/>
        <w:jc w:val="both"/>
      </w:pPr>
    </w:p>
    <w:p w:rsidR="008B1563" w:rsidRDefault="008B1563" w:rsidP="008B1563">
      <w:pPr>
        <w:pStyle w:val="ConsPlusNormal"/>
        <w:jc w:val="both"/>
      </w:pPr>
    </w:p>
    <w:p w:rsidR="008B1563" w:rsidRDefault="008B1563" w:rsidP="008B1563">
      <w:pPr>
        <w:pStyle w:val="ConsPlusNormal"/>
        <w:jc w:val="both"/>
      </w:pPr>
    </w:p>
    <w:p w:rsidR="002A3981" w:rsidRDefault="002A3981" w:rsidP="00EC777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2A3981" w:rsidSect="00EC7776">
          <w:headerReference w:type="first" r:id="rId15"/>
          <w:footerReference w:type="first" r:id="rId16"/>
          <w:pgSz w:w="11905" w:h="16838"/>
          <w:pgMar w:top="709" w:right="851" w:bottom="1134" w:left="1701" w:header="0" w:footer="0" w:gutter="0"/>
          <w:cols w:space="720"/>
        </w:sectPr>
      </w:pPr>
    </w:p>
    <w:p w:rsidR="002A3981" w:rsidRPr="005F6C44" w:rsidRDefault="002A3981" w:rsidP="002A39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6C4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A3981" w:rsidRPr="005F6C44" w:rsidRDefault="002A3981" w:rsidP="002A398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порядку</w:t>
      </w:r>
    </w:p>
    <w:p w:rsidR="002A3981" w:rsidRPr="005F6C44" w:rsidRDefault="002A3981" w:rsidP="002A398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роведения операций со средствами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бюджетных учреждений,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автономных учреждений 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F6C44">
        <w:rPr>
          <w:rFonts w:ascii="Times New Roman" w:hAnsi="Times New Roman" w:cs="Times New Roman"/>
          <w:b w:val="0"/>
          <w:sz w:val="28"/>
          <w:szCs w:val="28"/>
        </w:rPr>
        <w:t xml:space="preserve">Аргаяшского муниципального округа </w:t>
      </w:r>
    </w:p>
    <w:p w:rsidR="008B1563" w:rsidRDefault="008B1563" w:rsidP="008B1563">
      <w:pPr>
        <w:pStyle w:val="ConsPlusNormal"/>
        <w:spacing w:after="1"/>
      </w:pPr>
    </w:p>
    <w:p w:rsidR="008B1563" w:rsidRDefault="008B1563" w:rsidP="008B1563">
      <w:pPr>
        <w:pStyle w:val="ConsPlusNormal"/>
        <w:jc w:val="both"/>
      </w:pPr>
    </w:p>
    <w:p w:rsidR="008B1563" w:rsidRPr="002A3981" w:rsidRDefault="008B1563" w:rsidP="002A39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92"/>
      <w:bookmarkEnd w:id="3"/>
      <w:r w:rsidRPr="002A3981">
        <w:rPr>
          <w:rFonts w:ascii="Times New Roman" w:hAnsi="Times New Roman" w:cs="Times New Roman"/>
          <w:sz w:val="24"/>
          <w:szCs w:val="24"/>
        </w:rPr>
        <w:t>СПРАВКА-УВЕДОМЛЕНИЕ N ____</w:t>
      </w:r>
    </w:p>
    <w:p w:rsidR="008B1563" w:rsidRPr="002A3981" w:rsidRDefault="008B1563" w:rsidP="002A39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от __________ 20__ г.</w:t>
      </w:r>
    </w:p>
    <w:p w:rsidR="008B1563" w:rsidRPr="002A3981" w:rsidRDefault="008B1563" w:rsidP="002A3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Публично-правовое образование</w:t>
      </w:r>
    </w:p>
    <w:p w:rsidR="008B1563" w:rsidRPr="002A3981" w:rsidRDefault="008B1563" w:rsidP="002A3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Единица измерения: руб.</w:t>
      </w:r>
    </w:p>
    <w:p w:rsidR="008B1563" w:rsidRPr="002A3981" w:rsidRDefault="008B1563" w:rsidP="002A39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624"/>
        <w:gridCol w:w="737"/>
        <w:gridCol w:w="1020"/>
        <w:gridCol w:w="624"/>
        <w:gridCol w:w="1701"/>
        <w:gridCol w:w="1020"/>
        <w:gridCol w:w="2729"/>
      </w:tblGrid>
      <w:tr w:rsidR="008B1563" w:rsidRPr="002A3981" w:rsidTr="002A3981">
        <w:trPr>
          <w:trHeight w:val="158"/>
        </w:trPr>
        <w:tc>
          <w:tcPr>
            <w:tcW w:w="4932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1. Основание для проведения операции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  <w:gridSpan w:val="6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2. Уточняемый документ</w:t>
            </w:r>
          </w:p>
        </w:tc>
      </w:tr>
      <w:tr w:rsidR="008B1563" w:rsidRPr="002A3981" w:rsidTr="002A3981">
        <w:trPr>
          <w:trHeight w:val="94"/>
        </w:trPr>
        <w:tc>
          <w:tcPr>
            <w:tcW w:w="4932" w:type="dxa"/>
            <w:vMerge w:val="restart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операции</w:t>
            </w: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5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729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8B1563" w:rsidRPr="002A3981" w:rsidTr="002A3981">
        <w:tc>
          <w:tcPr>
            <w:tcW w:w="4932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398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2A398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2A3981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2A398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020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3981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624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3981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701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398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020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3981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2729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63" w:rsidRPr="002A3981" w:rsidTr="002A3981">
        <w:tc>
          <w:tcPr>
            <w:tcW w:w="4932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1563" w:rsidRPr="002A3981" w:rsidTr="002A3981">
        <w:tc>
          <w:tcPr>
            <w:tcW w:w="4932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563" w:rsidRPr="002A3981" w:rsidRDefault="008B1563" w:rsidP="008B1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1563" w:rsidRPr="002A3981" w:rsidRDefault="008B1563" w:rsidP="002A3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3. Уточняемые реквизиты</w:t>
      </w:r>
    </w:p>
    <w:p w:rsidR="008B1563" w:rsidRPr="002A3981" w:rsidRDefault="008B1563" w:rsidP="002A39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"/>
        <w:gridCol w:w="1747"/>
        <w:gridCol w:w="837"/>
        <w:gridCol w:w="794"/>
        <w:gridCol w:w="1299"/>
        <w:gridCol w:w="754"/>
        <w:gridCol w:w="568"/>
        <w:gridCol w:w="811"/>
        <w:gridCol w:w="910"/>
        <w:gridCol w:w="1067"/>
        <w:gridCol w:w="800"/>
        <w:gridCol w:w="1497"/>
        <w:gridCol w:w="1300"/>
        <w:gridCol w:w="1585"/>
      </w:tblGrid>
      <w:tr w:rsidR="002A3981" w:rsidRPr="002A3981" w:rsidTr="002A3981">
        <w:tc>
          <w:tcPr>
            <w:tcW w:w="442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4" w:type="dxa"/>
            <w:gridSpan w:val="2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794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КВФО</w:t>
            </w:r>
          </w:p>
        </w:tc>
        <w:tc>
          <w:tcPr>
            <w:tcW w:w="1299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Отраслевой код</w:t>
            </w:r>
          </w:p>
        </w:tc>
        <w:tc>
          <w:tcPr>
            <w:tcW w:w="754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568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811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gram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910" w:type="dxa"/>
            <w:vMerge w:val="restart"/>
            <w:vAlign w:val="center"/>
          </w:tcPr>
          <w:p w:rsidR="008B1563" w:rsidRPr="002A3981" w:rsidRDefault="0090033A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Приказ Минфина России от 29.11.2017 N 209н (ред. от 29.08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------------ Недействующая редакция {Консульта">
              <w:r w:rsidR="008B1563" w:rsidRPr="002A39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1067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Код субсидии</w:t>
            </w:r>
          </w:p>
        </w:tc>
        <w:tc>
          <w:tcPr>
            <w:tcW w:w="800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97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Без права расходования</w:t>
            </w:r>
          </w:p>
        </w:tc>
        <w:tc>
          <w:tcPr>
            <w:tcW w:w="1300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585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Обязательство</w:t>
            </w:r>
          </w:p>
        </w:tc>
      </w:tr>
      <w:tr w:rsidR="002A3981" w:rsidRPr="002A3981" w:rsidTr="002A3981">
        <w:tc>
          <w:tcPr>
            <w:tcW w:w="442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7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3981">
              <w:rPr>
                <w:rFonts w:ascii="Times New Roman" w:hAnsi="Times New Roman" w:cs="Times New Roman"/>
                <w:sz w:val="20"/>
              </w:rPr>
              <w:t>Лицевой счет</w:t>
            </w:r>
          </w:p>
        </w:tc>
        <w:tc>
          <w:tcPr>
            <w:tcW w:w="794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81" w:rsidRPr="002A3981" w:rsidTr="002A3981">
        <w:tc>
          <w:tcPr>
            <w:tcW w:w="442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5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A3981" w:rsidRPr="002A3981" w:rsidTr="002A3981">
        <w:tc>
          <w:tcPr>
            <w:tcW w:w="442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563" w:rsidRPr="002A3981" w:rsidRDefault="008B1563" w:rsidP="002A39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1563" w:rsidRPr="002A3981" w:rsidRDefault="008B1563" w:rsidP="002A3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lastRenderedPageBreak/>
        <w:t>4. Уточненные реквизиты</w:t>
      </w:r>
    </w:p>
    <w:p w:rsidR="008B1563" w:rsidRPr="002A3981" w:rsidRDefault="008B1563" w:rsidP="002A39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"/>
        <w:gridCol w:w="1591"/>
        <w:gridCol w:w="993"/>
        <w:gridCol w:w="794"/>
        <w:gridCol w:w="1299"/>
        <w:gridCol w:w="754"/>
        <w:gridCol w:w="568"/>
        <w:gridCol w:w="811"/>
        <w:gridCol w:w="910"/>
        <w:gridCol w:w="1067"/>
        <w:gridCol w:w="800"/>
        <w:gridCol w:w="1497"/>
        <w:gridCol w:w="1300"/>
        <w:gridCol w:w="1585"/>
      </w:tblGrid>
      <w:tr w:rsidR="008B1563" w:rsidRPr="002A3981" w:rsidTr="00466464">
        <w:tc>
          <w:tcPr>
            <w:tcW w:w="510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5" w:type="dxa"/>
            <w:gridSpan w:val="2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850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КВФО</w:t>
            </w:r>
          </w:p>
        </w:tc>
        <w:tc>
          <w:tcPr>
            <w:tcW w:w="1417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Отраслевой код</w:t>
            </w:r>
          </w:p>
        </w:tc>
        <w:tc>
          <w:tcPr>
            <w:tcW w:w="850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737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907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gram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020" w:type="dxa"/>
            <w:vMerge w:val="restart"/>
            <w:vAlign w:val="center"/>
          </w:tcPr>
          <w:p w:rsidR="008B1563" w:rsidRPr="002A3981" w:rsidRDefault="0090033A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Приказ Минфина России от 29.11.2017 N 209н (ред. от 29.08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------------ Недействующая редакция {Консульта">
              <w:r w:rsidR="008B1563" w:rsidRPr="002A39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1191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Код субсидии</w:t>
            </w:r>
          </w:p>
        </w:tc>
        <w:tc>
          <w:tcPr>
            <w:tcW w:w="907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644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Без права расходования</w:t>
            </w:r>
          </w:p>
        </w:tc>
        <w:tc>
          <w:tcPr>
            <w:tcW w:w="1474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757" w:type="dxa"/>
            <w:vMerge w:val="restart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Обязательство</w:t>
            </w:r>
          </w:p>
        </w:tc>
      </w:tr>
      <w:tr w:rsidR="002A3981" w:rsidRPr="002A3981" w:rsidTr="00466464"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Align w:val="center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81" w:rsidRPr="002A3981" w:rsidTr="00466464">
        <w:tc>
          <w:tcPr>
            <w:tcW w:w="51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8B1563" w:rsidRPr="002A3981" w:rsidRDefault="008B1563" w:rsidP="002A3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A3981" w:rsidRPr="002A3981" w:rsidTr="00466464">
        <w:tc>
          <w:tcPr>
            <w:tcW w:w="51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8B1563" w:rsidRPr="002A3981" w:rsidRDefault="008B1563" w:rsidP="002A3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563" w:rsidRPr="002A3981" w:rsidRDefault="008B1563" w:rsidP="008B1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1563" w:rsidRPr="002A3981" w:rsidRDefault="008B1563" w:rsidP="008B1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____________   _______________   __________________________________________</w:t>
      </w:r>
    </w:p>
    <w:p w:rsidR="008B1563" w:rsidRPr="002A3981" w:rsidRDefault="008B1563" w:rsidP="008B1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 xml:space="preserve"> (должность)       (подпись)              (расшифровка подписи)</w:t>
      </w:r>
    </w:p>
    <w:p w:rsidR="008B1563" w:rsidRPr="002A3981" w:rsidRDefault="008B1563" w:rsidP="008B1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____________   _______________   __________________________________________</w:t>
      </w:r>
    </w:p>
    <w:p w:rsidR="008B1563" w:rsidRPr="002A3981" w:rsidRDefault="008B1563" w:rsidP="008B1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 xml:space="preserve"> (должность)       (подпись)              (расшифровка подписи)</w:t>
      </w:r>
    </w:p>
    <w:p w:rsidR="008B1563" w:rsidRPr="002A3981" w:rsidRDefault="008B1563" w:rsidP="008B1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563" w:rsidRPr="002A3981" w:rsidRDefault="008B1563" w:rsidP="008B1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"___" _________ 20__ г.</w:t>
      </w:r>
    </w:p>
    <w:p w:rsidR="002A3981" w:rsidRDefault="002A3981" w:rsidP="008B1563">
      <w:pPr>
        <w:pStyle w:val="ConsPlusNormal"/>
        <w:jc w:val="both"/>
        <w:sectPr w:rsidR="002A3981" w:rsidSect="002A3981">
          <w:pgSz w:w="16838" w:h="11905" w:orient="landscape"/>
          <w:pgMar w:top="1134" w:right="850" w:bottom="1134" w:left="1701" w:header="0" w:footer="0" w:gutter="0"/>
          <w:cols w:space="720"/>
          <w:docGrid w:linePitch="326"/>
        </w:sectPr>
      </w:pPr>
    </w:p>
    <w:p w:rsidR="008B1563" w:rsidRDefault="008B1563" w:rsidP="002A3981">
      <w:pPr>
        <w:pStyle w:val="ConsPlusNormal"/>
        <w:spacing w:before="240"/>
        <w:jc w:val="both"/>
      </w:pPr>
    </w:p>
    <w:sectPr w:rsidR="008B1563" w:rsidSect="005A3223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76" w:rsidRDefault="00EC7776" w:rsidP="008B1563">
      <w:r>
        <w:separator/>
      </w:r>
    </w:p>
  </w:endnote>
  <w:endnote w:type="continuationSeparator" w:id="0">
    <w:p w:rsidR="00EC7776" w:rsidRDefault="00EC7776" w:rsidP="008B1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76" w:rsidRDefault="00EC77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113"/>
      <w:gridCol w:w="3207"/>
      <w:gridCol w:w="3113"/>
    </w:tblGrid>
    <w:tr w:rsidR="00EC7776">
      <w:trPr>
        <w:trHeight w:hRule="exact" w:val="1663"/>
      </w:trPr>
      <w:tc>
        <w:tcPr>
          <w:tcW w:w="1650" w:type="pct"/>
          <w:vAlign w:val="center"/>
        </w:tcPr>
        <w:p w:rsidR="00EC7776" w:rsidRDefault="00EC777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7776" w:rsidRDefault="00EC777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7776" w:rsidRDefault="00EC7776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C7776" w:rsidRDefault="00EC777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76" w:rsidRDefault="00EC7776" w:rsidP="008B1563">
      <w:r>
        <w:separator/>
      </w:r>
    </w:p>
  </w:footnote>
  <w:footnote w:type="continuationSeparator" w:id="0">
    <w:p w:rsidR="00EC7776" w:rsidRDefault="00EC7776" w:rsidP="008B1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094"/>
      <w:gridCol w:w="4339"/>
    </w:tblGrid>
    <w:tr w:rsidR="00EC7776">
      <w:trPr>
        <w:trHeight w:hRule="exact" w:val="1683"/>
      </w:trPr>
      <w:tc>
        <w:tcPr>
          <w:tcW w:w="2700" w:type="pct"/>
          <w:vAlign w:val="center"/>
        </w:tcPr>
        <w:p w:rsidR="00EC7776" w:rsidRDefault="00EC777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финансов Челябинской области от 15.09.2014 N 39-НП</w:t>
          </w:r>
          <w:r>
            <w:rPr>
              <w:rFonts w:ascii="Tahoma" w:hAnsi="Tahoma" w:cs="Tahoma"/>
              <w:sz w:val="16"/>
              <w:szCs w:val="16"/>
            </w:rPr>
            <w:br/>
            <w:t>(ред. от 14.05.2025)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проведения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операц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C7776" w:rsidRDefault="00EC777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EC7776" w:rsidRDefault="00EC777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C7776" w:rsidRDefault="00EC7776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966"/>
    <w:multiLevelType w:val="hybridMultilevel"/>
    <w:tmpl w:val="69FC6C34"/>
    <w:lvl w:ilvl="0" w:tplc="6406CF5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10D03163"/>
    <w:multiLevelType w:val="hybridMultilevel"/>
    <w:tmpl w:val="42529EC4"/>
    <w:lvl w:ilvl="0" w:tplc="54409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42106"/>
    <w:multiLevelType w:val="hybridMultilevel"/>
    <w:tmpl w:val="D6EE2B12"/>
    <w:lvl w:ilvl="0" w:tplc="D410F5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319"/>
    <w:rsid w:val="00030CCE"/>
    <w:rsid w:val="00032E34"/>
    <w:rsid w:val="00100371"/>
    <w:rsid w:val="0011309E"/>
    <w:rsid w:val="00153CFF"/>
    <w:rsid w:val="00193FB9"/>
    <w:rsid w:val="001E6B3F"/>
    <w:rsid w:val="002A3981"/>
    <w:rsid w:val="002A61C9"/>
    <w:rsid w:val="00316D2F"/>
    <w:rsid w:val="0034741A"/>
    <w:rsid w:val="00466464"/>
    <w:rsid w:val="004F678D"/>
    <w:rsid w:val="004F6C5B"/>
    <w:rsid w:val="0057515F"/>
    <w:rsid w:val="005913EF"/>
    <w:rsid w:val="005A3223"/>
    <w:rsid w:val="005C4319"/>
    <w:rsid w:val="005F6C44"/>
    <w:rsid w:val="006A58B8"/>
    <w:rsid w:val="006A750C"/>
    <w:rsid w:val="006C0897"/>
    <w:rsid w:val="008A7FE9"/>
    <w:rsid w:val="008B1563"/>
    <w:rsid w:val="0090033A"/>
    <w:rsid w:val="00901F9B"/>
    <w:rsid w:val="009950A6"/>
    <w:rsid w:val="009D234F"/>
    <w:rsid w:val="00AB7ABF"/>
    <w:rsid w:val="00C43864"/>
    <w:rsid w:val="00C47224"/>
    <w:rsid w:val="00C734CF"/>
    <w:rsid w:val="00CB0CAC"/>
    <w:rsid w:val="00CC642B"/>
    <w:rsid w:val="00D20B84"/>
    <w:rsid w:val="00D32685"/>
    <w:rsid w:val="00E27ABA"/>
    <w:rsid w:val="00E75F5C"/>
    <w:rsid w:val="00EC7776"/>
    <w:rsid w:val="00F25D76"/>
    <w:rsid w:val="00F71FDA"/>
    <w:rsid w:val="00F8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A58B8"/>
    <w:pPr>
      <w:keepNext/>
      <w:jc w:val="center"/>
      <w:outlineLvl w:val="7"/>
    </w:pPr>
    <w:rPr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A58B8"/>
    <w:rPr>
      <w:rFonts w:ascii="Times New Roman" w:eastAsia="Times New Roman" w:hAnsi="Times New Roman" w:cs="Times New Roman"/>
      <w:sz w:val="36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B15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1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15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6C44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FC0A7D6A90A944C1178AEC5DEC932D2A5AF803509CA8AD7A59E612F1E6C6F556AFC0B5217A10EF4CFFAF0E5F1288C4ED3905ABBEDE3B5SBQFE" TargetMode="External"/><Relationship Id="rId13" Type="http://schemas.openxmlformats.org/officeDocument/2006/relationships/hyperlink" Target="consultantplus://offline/ref=D1CFC0A7D6A90A944C1166A3D3B29639D9AFF6853C0BC7D48CF19836704E6A3A152AFA5E1153AE0DF1C4AEA0A3AF71DC09989D58A6F1E3B4A18ACCFASAQ4E" TargetMode="External"/><Relationship Id="rId18" Type="http://schemas.openxmlformats.org/officeDocument/2006/relationships/hyperlink" Target="https://login.consultant.ru/link/?req=doc&amp;base=LAW&amp;n=515907&amp;date=10.02.2026&amp;dst=101121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CFC0A7D6A90A944C1178AEC5DEC932D3A7A8893E0FCA8AD7A59E612F1E6C6F556AFC0B5216A00EF7CFFAF0E5F1288C4ED3905ABBEDE3B5SBQFE" TargetMode="External"/><Relationship Id="rId12" Type="http://schemas.openxmlformats.org/officeDocument/2006/relationships/hyperlink" Target="consultantplus://offline/ref=D1CFC0A7D6A90A944C1178AEC5DEC932D3A6AF813807CA8AD7A59E612F1E6C6F556AFC0B5214A70FF5CFFAF0E5F1288C4ED3905ABBEDE3B5SBQFE" TargetMode="External"/><Relationship Id="rId17" Type="http://schemas.openxmlformats.org/officeDocument/2006/relationships/hyperlink" Target="https://login.consultant.ru/link/?req=doc&amp;base=LAW&amp;n=515907&amp;date=10.02.2026&amp;dst=101121&amp;field=134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CFC0A7D6A90A944C1178AEC5DEC932D3A6AF813807CA8AD7A59E612F1E6C6F556AFC095313A507A595EAF4ACA526934DCE8E5BA5EDSEQ3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1CFC0A7D6A90A944C1178AEC5DEC932D2A5AF803509CA8AD7A59E612F1E6C6F556AFC0B5217A10FF3CFFAF0E5F1288C4ED3905ABBEDE3B5SBQF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CFC0A7D6A90A944C1178AEC5DEC932D2A5AF803509CA8AD7A59E612F1E6C6F556AFC0B5217A10AF8CFFAF0E5F1288C4ED3905ABBEDE3B5SBQFE" TargetMode="External"/><Relationship Id="rId14" Type="http://schemas.openxmlformats.org/officeDocument/2006/relationships/hyperlink" Target="https://login.consultant.ru/link/?req=doc&amp;base=LAW&amp;n=495181&amp;date=10.02.2026&amp;dst=10147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12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Ивановна</cp:lastModifiedBy>
  <cp:revision>11</cp:revision>
  <cp:lastPrinted>2020-03-17T06:48:00Z</cp:lastPrinted>
  <dcterms:created xsi:type="dcterms:W3CDTF">2026-02-10T03:54:00Z</dcterms:created>
  <dcterms:modified xsi:type="dcterms:W3CDTF">2026-03-18T07:24:00Z</dcterms:modified>
</cp:coreProperties>
</file>