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69" w:rsidRDefault="000E075E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spacing w:after="160"/>
        <w:rPr>
          <w:rStyle w:val="af9"/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416480" cy="85679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416480" cy="8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                                                                       </w:t>
      </w:r>
      <w:r>
        <w:rPr>
          <w:rStyle w:val="af9"/>
          <w:bCs/>
          <w:sz w:val="28"/>
          <w:szCs w:val="28"/>
        </w:rPr>
        <w:t>03.03.2026</w:t>
      </w:r>
    </w:p>
    <w:p w:rsidR="00B54E69" w:rsidRDefault="00B54E69">
      <w:pPr>
        <w:ind w:firstLine="709"/>
        <w:jc w:val="both"/>
        <w:rPr>
          <w:b/>
          <w:color w:val="0070C0"/>
          <w:sz w:val="28"/>
          <w:szCs w:val="28"/>
        </w:rPr>
      </w:pPr>
    </w:p>
    <w:p w:rsidR="00B54E69" w:rsidRDefault="000E075E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Челябинский </w:t>
      </w:r>
      <w:proofErr w:type="spellStart"/>
      <w:r>
        <w:rPr>
          <w:b/>
          <w:color w:val="0070C0"/>
          <w:sz w:val="28"/>
          <w:szCs w:val="28"/>
        </w:rPr>
        <w:t>Росреестр</w:t>
      </w:r>
      <w:proofErr w:type="spellEnd"/>
      <w:r>
        <w:rPr>
          <w:b/>
          <w:color w:val="0070C0"/>
          <w:sz w:val="28"/>
          <w:szCs w:val="28"/>
        </w:rPr>
        <w:t xml:space="preserve"> напоминает об ответственности</w:t>
      </w:r>
    </w:p>
    <w:p w:rsidR="00B54E69" w:rsidRDefault="000E075E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за повреждение пунктов ГГС</w:t>
      </w:r>
    </w:p>
    <w:p w:rsidR="00B54E69" w:rsidRDefault="00B54E69">
      <w:pPr>
        <w:ind w:firstLine="709"/>
        <w:jc w:val="both"/>
        <w:rPr>
          <w:b/>
          <w:sz w:val="28"/>
          <w:szCs w:val="28"/>
        </w:rPr>
      </w:pPr>
    </w:p>
    <w:p w:rsidR="00B54E69" w:rsidRDefault="000E075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по Челябинской области и филиал ППК «</w:t>
      </w:r>
      <w:proofErr w:type="spellStart"/>
      <w:r>
        <w:rPr>
          <w:b/>
          <w:sz w:val="28"/>
          <w:szCs w:val="28"/>
        </w:rPr>
        <w:t>Роскадастр</w:t>
      </w:r>
      <w:proofErr w:type="spellEnd"/>
      <w:r>
        <w:rPr>
          <w:b/>
          <w:sz w:val="28"/>
          <w:szCs w:val="28"/>
        </w:rPr>
        <w:t xml:space="preserve">» сообщают, что </w:t>
      </w:r>
      <w:r>
        <w:rPr>
          <w:b/>
          <w:sz w:val="28"/>
          <w:szCs w:val="28"/>
        </w:rPr>
        <w:t>повреждение и уничтожение</w:t>
      </w:r>
      <w:r>
        <w:t xml:space="preserve"> </w:t>
      </w:r>
      <w:r>
        <w:rPr>
          <w:b/>
          <w:sz w:val="28"/>
          <w:szCs w:val="28"/>
        </w:rPr>
        <w:t>пунктов государственной геодезической сети (ГГС) влечет за собой административную ответственность.</w:t>
      </w:r>
    </w:p>
    <w:p w:rsidR="00B54E69" w:rsidRDefault="000E0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Челябинской области насчитывается более 14 тысяч геодезических пунктов. Часть из них находится в отдаленных территори</w:t>
      </w:r>
      <w:r>
        <w:rPr>
          <w:sz w:val="28"/>
          <w:szCs w:val="28"/>
        </w:rPr>
        <w:t>ях, лесных массивах, на горных вершинах, а некоторые размещаются на землях, находящихся в частной собственности.</w:t>
      </w:r>
    </w:p>
    <w:p w:rsidR="00B54E69" w:rsidRDefault="000E0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геодезического пункта на местности обозначается специальным знаком (так называемым репером или маркой), скрытым в земле, и наруж</w:t>
      </w:r>
      <w:r>
        <w:rPr>
          <w:sz w:val="28"/>
          <w:szCs w:val="28"/>
        </w:rPr>
        <w:t xml:space="preserve">ными ориентирами. Распознать пункт на местности можно по геодезическому знаку, опознавательному столбу или следам </w:t>
      </w:r>
      <w:proofErr w:type="spellStart"/>
      <w:r>
        <w:rPr>
          <w:sz w:val="28"/>
          <w:szCs w:val="28"/>
        </w:rPr>
        <w:t>окопки</w:t>
      </w:r>
      <w:proofErr w:type="spellEnd"/>
      <w:r>
        <w:rPr>
          <w:sz w:val="28"/>
          <w:szCs w:val="28"/>
        </w:rPr>
        <w:t xml:space="preserve"> вокруг него – эти признаки указывают на наличие и местоположение геодезических пунктов.</w:t>
      </w:r>
    </w:p>
    <w:p w:rsidR="00B54E69" w:rsidRDefault="000E0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Уничтожение, повреждение или снос пунктов госуд</w:t>
      </w:r>
      <w:r>
        <w:rPr>
          <w:sz w:val="28"/>
          <w:szCs w:val="28"/>
        </w:rPr>
        <w:t>арственных геодезических сетей, пунктов геодезических сетей специального назначения влечет наложение административного штрафа: на граждан – в</w:t>
      </w:r>
      <w:bookmarkStart w:id="0" w:name="_GoBack"/>
      <w:bookmarkEnd w:id="0"/>
      <w:r>
        <w:rPr>
          <w:sz w:val="28"/>
          <w:szCs w:val="28"/>
        </w:rPr>
        <w:t xml:space="preserve"> размере от 5 000 до 10 000 рублей, на должностных лиц – от 10 000 до 50 000 рублей, на юридических лиц – от 50 000</w:t>
      </w:r>
      <w:r>
        <w:rPr>
          <w:sz w:val="28"/>
          <w:szCs w:val="28"/>
        </w:rPr>
        <w:t xml:space="preserve"> до 200 000 рублей.</w:t>
      </w:r>
    </w:p>
    <w:p w:rsidR="00B54E69" w:rsidRPr="000E075E" w:rsidRDefault="000E075E">
      <w:pPr>
        <w:ind w:firstLine="709"/>
        <w:jc w:val="both"/>
        <w:rPr>
          <w:sz w:val="28"/>
          <w:szCs w:val="28"/>
        </w:rPr>
      </w:pPr>
      <w:r w:rsidRPr="000E075E">
        <w:rPr>
          <w:sz w:val="28"/>
          <w:szCs w:val="28"/>
        </w:rPr>
        <w:t xml:space="preserve">Начальник отдела геодезии и картографии Управления </w:t>
      </w:r>
      <w:proofErr w:type="spellStart"/>
      <w:r w:rsidRPr="000E075E">
        <w:rPr>
          <w:sz w:val="28"/>
          <w:szCs w:val="28"/>
        </w:rPr>
        <w:t>Росреестра</w:t>
      </w:r>
      <w:proofErr w:type="spellEnd"/>
      <w:r w:rsidRPr="000E075E">
        <w:rPr>
          <w:sz w:val="28"/>
          <w:szCs w:val="28"/>
        </w:rPr>
        <w:t xml:space="preserve"> по Челябинской области </w:t>
      </w:r>
      <w:r w:rsidRPr="000E075E">
        <w:rPr>
          <w:b/>
          <w:sz w:val="28"/>
          <w:szCs w:val="28"/>
        </w:rPr>
        <w:t xml:space="preserve">Ирина </w:t>
      </w:r>
      <w:proofErr w:type="spellStart"/>
      <w:r w:rsidRPr="000E075E">
        <w:rPr>
          <w:b/>
          <w:sz w:val="28"/>
          <w:szCs w:val="28"/>
        </w:rPr>
        <w:t>Ламина</w:t>
      </w:r>
      <w:proofErr w:type="spellEnd"/>
      <w:r w:rsidRPr="000E075E">
        <w:rPr>
          <w:b/>
          <w:sz w:val="28"/>
          <w:szCs w:val="28"/>
        </w:rPr>
        <w:t xml:space="preserve"> </w:t>
      </w:r>
      <w:r w:rsidRPr="000E075E">
        <w:rPr>
          <w:sz w:val="28"/>
          <w:szCs w:val="28"/>
        </w:rPr>
        <w:t xml:space="preserve">подчеркивает: </w:t>
      </w:r>
      <w:r w:rsidRPr="000E075E">
        <w:rPr>
          <w:i/>
          <w:sz w:val="28"/>
          <w:szCs w:val="28"/>
        </w:rPr>
        <w:t>«Важно понимать: если на вашем участке находится геодезический пункт, вы не вправе препятствовать доступу к нему специалиста</w:t>
      </w:r>
      <w:r w:rsidRPr="000E075E">
        <w:rPr>
          <w:i/>
          <w:sz w:val="28"/>
          <w:szCs w:val="28"/>
        </w:rPr>
        <w:t xml:space="preserve">м при выполнении геодезических и картографических работ, а также при проведении их ремонта и </w:t>
      </w:r>
      <w:r w:rsidRPr="000E075E">
        <w:rPr>
          <w:i/>
          <w:color w:val="000000" w:themeColor="text1"/>
          <w:sz w:val="28"/>
          <w:szCs w:val="28"/>
        </w:rPr>
        <w:t>восстановления.</w:t>
      </w:r>
      <w:r w:rsidRPr="000E075E">
        <w:rPr>
          <w:color w:val="000000" w:themeColor="text1"/>
        </w:rPr>
        <w:t xml:space="preserve"> </w:t>
      </w:r>
      <w:r w:rsidRPr="000E075E">
        <w:rPr>
          <w:i/>
          <w:color w:val="000000" w:themeColor="text1"/>
          <w:sz w:val="28"/>
          <w:szCs w:val="28"/>
        </w:rPr>
        <w:t xml:space="preserve">Обязанность сохранять пункты ГГС закон возлагает не только на </w:t>
      </w:r>
      <w:r w:rsidRPr="000E075E">
        <w:rPr>
          <w:i/>
          <w:color w:val="000000" w:themeColor="text1"/>
          <w:sz w:val="28"/>
          <w:szCs w:val="28"/>
        </w:rPr>
        <w:t>правообладателей земельных участков,</w:t>
      </w:r>
      <w:r w:rsidRPr="000E075E">
        <w:rPr>
          <w:i/>
          <w:color w:val="000000" w:themeColor="text1"/>
          <w:sz w:val="28"/>
          <w:szCs w:val="28"/>
        </w:rPr>
        <w:t xml:space="preserve"> на которых эти пункты установлены, но и на други</w:t>
      </w:r>
      <w:r w:rsidRPr="000E075E">
        <w:rPr>
          <w:i/>
          <w:color w:val="000000" w:themeColor="text1"/>
          <w:sz w:val="28"/>
          <w:szCs w:val="28"/>
        </w:rPr>
        <w:t>х лиц, не являющихся собственниками».</w:t>
      </w:r>
    </w:p>
    <w:p w:rsidR="00B54E69" w:rsidRDefault="000E0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Правообладатели объектов недвижимости, на которых находятся геодезические пункты, а также лица, выполняющие геодезические и картографические работы (в том числе при осуществлении градостроительной и кадастровой деятель</w:t>
      </w:r>
      <w:r>
        <w:rPr>
          <w:sz w:val="28"/>
          <w:szCs w:val="28"/>
        </w:rPr>
        <w:t>ности, землеустройства, недропользования), в случае выявления повреждения или уничтожения пункта обязаны в течение 15 календарных дней направить информацию об этом в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».</w:t>
      </w:r>
    </w:p>
    <w:p w:rsidR="00B54E69" w:rsidRDefault="000E0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что </w:t>
      </w:r>
      <w:proofErr w:type="spellStart"/>
      <w:r>
        <w:rPr>
          <w:sz w:val="28"/>
          <w:szCs w:val="28"/>
        </w:rPr>
        <w:t>неуведомление</w:t>
      </w:r>
      <w:proofErr w:type="spellEnd"/>
      <w:r>
        <w:rPr>
          <w:sz w:val="28"/>
          <w:szCs w:val="28"/>
        </w:rPr>
        <w:t xml:space="preserve"> об уничтожении, о повреждении или о</w:t>
      </w:r>
      <w:r>
        <w:rPr>
          <w:sz w:val="28"/>
          <w:szCs w:val="28"/>
        </w:rPr>
        <w:t xml:space="preserve"> сносе пунктов, отказ в предоставлении возможности подъезда (подхода) к ним для проведения наблюдений и иных работ влечет предупреждение или наложение административного штрафа в размере от одной тысячи до пяти тысяч рублей.</w:t>
      </w:r>
    </w:p>
    <w:p w:rsidR="00B54E69" w:rsidRDefault="00B54E69">
      <w:pPr>
        <w:ind w:firstLine="709"/>
        <w:jc w:val="both"/>
        <w:rPr>
          <w:sz w:val="28"/>
          <w:szCs w:val="28"/>
        </w:rPr>
      </w:pPr>
    </w:p>
    <w:p w:rsidR="00B54E69" w:rsidRDefault="000E0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РосреестрЧелябинск</w:t>
      </w:r>
      <w:proofErr w:type="spellEnd"/>
      <w:r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РосреестрР</w:t>
      </w:r>
      <w:r>
        <w:rPr>
          <w:sz w:val="28"/>
          <w:szCs w:val="28"/>
        </w:rPr>
        <w:t>азъясняет</w:t>
      </w:r>
      <w:proofErr w:type="spellEnd"/>
      <w:r>
        <w:rPr>
          <w:sz w:val="28"/>
          <w:szCs w:val="28"/>
        </w:rPr>
        <w:t xml:space="preserve"> #ГГС</w:t>
      </w:r>
    </w:p>
    <w:p w:rsidR="00B54E69" w:rsidRDefault="00B54E69">
      <w:pPr>
        <w:ind w:firstLine="709"/>
        <w:jc w:val="both"/>
        <w:rPr>
          <w:sz w:val="28"/>
          <w:szCs w:val="28"/>
        </w:rPr>
      </w:pPr>
    </w:p>
    <w:p w:rsidR="00B54E69" w:rsidRDefault="000E075E">
      <w:pPr>
        <w:jc w:val="right"/>
        <w:rPr>
          <w:rStyle w:val="af9"/>
          <w:b/>
          <w:bCs/>
          <w:sz w:val="28"/>
          <w:szCs w:val="28"/>
          <w:shd w:val="clear" w:color="auto" w:fill="FFFFFF"/>
        </w:rPr>
      </w:pPr>
      <w:proofErr w:type="spellStart"/>
      <w:r>
        <w:rPr>
          <w:rStyle w:val="af9"/>
          <w:b/>
          <w:bCs/>
          <w:sz w:val="28"/>
          <w:szCs w:val="28"/>
          <w:shd w:val="clear" w:color="auto" w:fill="FFFFFF"/>
        </w:rPr>
        <w:lastRenderedPageBreak/>
        <w:t>Росреестра</w:t>
      </w:r>
      <w:proofErr w:type="spellEnd"/>
      <w:r>
        <w:rPr>
          <w:rStyle w:val="af9"/>
          <w:b/>
          <w:bCs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Style w:val="af9"/>
          <w:b/>
          <w:bCs/>
          <w:sz w:val="28"/>
          <w:szCs w:val="28"/>
          <w:shd w:val="clear" w:color="auto" w:fill="FFFFFF"/>
        </w:rPr>
        <w:t>Роскадастра</w:t>
      </w:r>
      <w:proofErr w:type="spellEnd"/>
      <w:r>
        <w:rPr>
          <w:rStyle w:val="af9"/>
          <w:b/>
          <w:bCs/>
          <w:sz w:val="28"/>
          <w:szCs w:val="28"/>
          <w:shd w:val="clear" w:color="auto" w:fill="FFFFFF"/>
        </w:rPr>
        <w:t xml:space="preserve"> по Челябинской области</w:t>
      </w:r>
    </w:p>
    <w:sectPr w:rsidR="00B54E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7" w:bottom="567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69" w:rsidRDefault="000E075E">
      <w:r>
        <w:separator/>
      </w:r>
    </w:p>
  </w:endnote>
  <w:endnote w:type="continuationSeparator" w:id="0">
    <w:p w:rsidR="00B54E69" w:rsidRDefault="000E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Golos">
    <w:charset w:val="00"/>
    <w:family w:val="auto"/>
    <w:pitch w:val="default"/>
  </w:font>
  <w:font w:name="Source Han Sans CN Regular">
    <w:charset w:val="00"/>
    <w:family w:val="auto"/>
    <w:pitch w:val="default"/>
  </w:font>
  <w:font w:name="Liberation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69" w:rsidRDefault="000E075E">
      <w:r>
        <w:separator/>
      </w:r>
    </w:p>
  </w:footnote>
  <w:footnote w:type="continuationSeparator" w:id="0">
    <w:p w:rsidR="00B54E69" w:rsidRDefault="000E0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3231"/>
    <w:multiLevelType w:val="hybridMultilevel"/>
    <w:tmpl w:val="840E6B84"/>
    <w:lvl w:ilvl="0" w:tplc="2C507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9C0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4479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585F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0C71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386E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6EDD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3CC8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0EB8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6B5E66"/>
    <w:multiLevelType w:val="hybridMultilevel"/>
    <w:tmpl w:val="910872E2"/>
    <w:lvl w:ilvl="0" w:tplc="B1B4E1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CB8F9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0F221C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6129E1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CDA70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2AE6D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40A12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BD661D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4FA52E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0397FB9"/>
    <w:multiLevelType w:val="hybridMultilevel"/>
    <w:tmpl w:val="7DF8027C"/>
    <w:lvl w:ilvl="0" w:tplc="8CB2F5F2">
      <w:start w:val="1"/>
      <w:numFmt w:val="decimal"/>
      <w:lvlText w:val="%1."/>
      <w:lvlJc w:val="left"/>
      <w:pPr>
        <w:ind w:left="1080" w:hanging="360"/>
      </w:pPr>
    </w:lvl>
    <w:lvl w:ilvl="1" w:tplc="FC46C93A">
      <w:start w:val="1"/>
      <w:numFmt w:val="lowerLetter"/>
      <w:lvlText w:val="%2."/>
      <w:lvlJc w:val="left"/>
      <w:pPr>
        <w:ind w:left="1800" w:hanging="360"/>
      </w:pPr>
    </w:lvl>
    <w:lvl w:ilvl="2" w:tplc="462A22DA">
      <w:start w:val="1"/>
      <w:numFmt w:val="lowerRoman"/>
      <w:lvlText w:val="%3."/>
      <w:lvlJc w:val="right"/>
      <w:pPr>
        <w:ind w:left="2520" w:hanging="180"/>
      </w:pPr>
    </w:lvl>
    <w:lvl w:ilvl="3" w:tplc="85488DBC">
      <w:start w:val="1"/>
      <w:numFmt w:val="decimal"/>
      <w:lvlText w:val="%4."/>
      <w:lvlJc w:val="left"/>
      <w:pPr>
        <w:ind w:left="3240" w:hanging="360"/>
      </w:pPr>
    </w:lvl>
    <w:lvl w:ilvl="4" w:tplc="EDFECE9C">
      <w:start w:val="1"/>
      <w:numFmt w:val="lowerLetter"/>
      <w:lvlText w:val="%5."/>
      <w:lvlJc w:val="left"/>
      <w:pPr>
        <w:ind w:left="3960" w:hanging="360"/>
      </w:pPr>
    </w:lvl>
    <w:lvl w:ilvl="5" w:tplc="EA6E2284">
      <w:start w:val="1"/>
      <w:numFmt w:val="lowerRoman"/>
      <w:lvlText w:val="%6."/>
      <w:lvlJc w:val="right"/>
      <w:pPr>
        <w:ind w:left="4680" w:hanging="180"/>
      </w:pPr>
    </w:lvl>
    <w:lvl w:ilvl="6" w:tplc="8F3EDD1C">
      <w:start w:val="1"/>
      <w:numFmt w:val="decimal"/>
      <w:lvlText w:val="%7."/>
      <w:lvlJc w:val="left"/>
      <w:pPr>
        <w:ind w:left="5400" w:hanging="360"/>
      </w:pPr>
    </w:lvl>
    <w:lvl w:ilvl="7" w:tplc="3C0C0642">
      <w:start w:val="1"/>
      <w:numFmt w:val="lowerLetter"/>
      <w:lvlText w:val="%8."/>
      <w:lvlJc w:val="left"/>
      <w:pPr>
        <w:ind w:left="6120" w:hanging="360"/>
      </w:pPr>
    </w:lvl>
    <w:lvl w:ilvl="8" w:tplc="5B808FC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D0565"/>
    <w:multiLevelType w:val="hybridMultilevel"/>
    <w:tmpl w:val="25ACA48A"/>
    <w:lvl w:ilvl="0" w:tplc="DAB26AD4">
      <w:start w:val="1"/>
      <w:numFmt w:val="decimal"/>
      <w:lvlText w:val="%1."/>
      <w:lvlJc w:val="left"/>
      <w:pPr>
        <w:ind w:left="1440" w:hanging="360"/>
      </w:pPr>
    </w:lvl>
    <w:lvl w:ilvl="1" w:tplc="A03CBE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1CE048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4EE198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A548D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040F88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66A3A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71EC16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2D4C090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FAC0C35"/>
    <w:multiLevelType w:val="hybridMultilevel"/>
    <w:tmpl w:val="EDA6935C"/>
    <w:lvl w:ilvl="0" w:tplc="A6F0E71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B82404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 w:tplc="6960F88E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 w:tplc="12DE10F2">
      <w:start w:val="1"/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 w:tplc="80EE8E80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 w:tplc="2F066F0A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 w:tplc="38AED5F8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 w:tplc="3D7AC2E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 w:tplc="B958D4B0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385E3991"/>
    <w:multiLevelType w:val="hybridMultilevel"/>
    <w:tmpl w:val="437C7C8A"/>
    <w:lvl w:ilvl="0" w:tplc="3E1AD8CE">
      <w:start w:val="1"/>
      <w:numFmt w:val="decimal"/>
      <w:lvlText w:val="%1."/>
      <w:lvlJc w:val="left"/>
      <w:pPr>
        <w:ind w:left="1069" w:hanging="360"/>
      </w:pPr>
    </w:lvl>
    <w:lvl w:ilvl="1" w:tplc="E3327E50">
      <w:start w:val="1"/>
      <w:numFmt w:val="lowerLetter"/>
      <w:lvlText w:val="%2."/>
      <w:lvlJc w:val="left"/>
      <w:pPr>
        <w:ind w:left="1789" w:hanging="360"/>
      </w:pPr>
    </w:lvl>
    <w:lvl w:ilvl="2" w:tplc="21E0E0A2">
      <w:start w:val="1"/>
      <w:numFmt w:val="lowerRoman"/>
      <w:lvlText w:val="%3."/>
      <w:lvlJc w:val="right"/>
      <w:pPr>
        <w:ind w:left="2509" w:hanging="180"/>
      </w:pPr>
    </w:lvl>
    <w:lvl w:ilvl="3" w:tplc="420C4760">
      <w:start w:val="1"/>
      <w:numFmt w:val="decimal"/>
      <w:lvlText w:val="%4."/>
      <w:lvlJc w:val="left"/>
      <w:pPr>
        <w:ind w:left="3229" w:hanging="360"/>
      </w:pPr>
    </w:lvl>
    <w:lvl w:ilvl="4" w:tplc="A13AD0C8">
      <w:start w:val="1"/>
      <w:numFmt w:val="lowerLetter"/>
      <w:lvlText w:val="%5."/>
      <w:lvlJc w:val="left"/>
      <w:pPr>
        <w:ind w:left="3949" w:hanging="360"/>
      </w:pPr>
    </w:lvl>
    <w:lvl w:ilvl="5" w:tplc="445832B0">
      <w:start w:val="1"/>
      <w:numFmt w:val="lowerRoman"/>
      <w:lvlText w:val="%6."/>
      <w:lvlJc w:val="right"/>
      <w:pPr>
        <w:ind w:left="4669" w:hanging="180"/>
      </w:pPr>
    </w:lvl>
    <w:lvl w:ilvl="6" w:tplc="DDF6D58E">
      <w:start w:val="1"/>
      <w:numFmt w:val="decimal"/>
      <w:lvlText w:val="%7."/>
      <w:lvlJc w:val="left"/>
      <w:pPr>
        <w:ind w:left="5389" w:hanging="360"/>
      </w:pPr>
    </w:lvl>
    <w:lvl w:ilvl="7" w:tplc="3AE48CD2">
      <w:start w:val="1"/>
      <w:numFmt w:val="lowerLetter"/>
      <w:lvlText w:val="%8."/>
      <w:lvlJc w:val="left"/>
      <w:pPr>
        <w:ind w:left="6109" w:hanging="360"/>
      </w:pPr>
    </w:lvl>
    <w:lvl w:ilvl="8" w:tplc="F0B8617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4C233F"/>
    <w:multiLevelType w:val="hybridMultilevel"/>
    <w:tmpl w:val="B84E10BA"/>
    <w:lvl w:ilvl="0" w:tplc="FF84F72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8D443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E5AAC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6F2EE8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D4AB9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6DA508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75CF38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932C8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BEE8B5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50906B22"/>
    <w:multiLevelType w:val="hybridMultilevel"/>
    <w:tmpl w:val="7A325600"/>
    <w:lvl w:ilvl="0" w:tplc="BC42C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AE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42A08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0441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82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62889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7C06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9C5C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4ED5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5FF0BEB"/>
    <w:multiLevelType w:val="hybridMultilevel"/>
    <w:tmpl w:val="D9FC504C"/>
    <w:lvl w:ilvl="0" w:tplc="D960C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D2B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947B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76D5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D29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4ED9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4C54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0A6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9205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ACF235D"/>
    <w:multiLevelType w:val="hybridMultilevel"/>
    <w:tmpl w:val="CF82656E"/>
    <w:lvl w:ilvl="0" w:tplc="9A74E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A668AF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95A3F9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2B899F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AE4C6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B08B62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E228D7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EC6986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8E24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69"/>
    <w:rsid w:val="000E075E"/>
    <w:rsid w:val="00B5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321C8-8F26-43DF-A5C8-A28C9E54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suppressLineNumbers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suppressLineNumbers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12"/>
    <w:rPr>
      <w:sz w:val="20"/>
      <w:szCs w:val="20"/>
      <w:lang w:val="en-US"/>
    </w:rPr>
  </w:style>
  <w:style w:type="character" w:customStyle="1" w:styleId="12">
    <w:name w:val="Текст концевой сноски Знак1"/>
    <w:link w:val="af5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30">
    <w:name w:val="Основной шрифт абзаца13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0">
    <w:name w:val="Основной шрифт абзаца1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10">
    <w:name w:val="Основной шрифт абзаца11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Times New Roman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Times New Roman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Times New Roman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</w:style>
  <w:style w:type="character" w:customStyle="1" w:styleId="100">
    <w:name w:val="Основной шрифт абзаца10"/>
  </w:style>
  <w:style w:type="character" w:customStyle="1" w:styleId="92">
    <w:name w:val="Основной шрифт абзаца9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9">
    <w:name w:val="Нет"/>
  </w:style>
  <w:style w:type="character" w:styleId="afa">
    <w:name w:val="Emphasis"/>
    <w:uiPriority w:val="20"/>
    <w:qFormat/>
    <w:rPr>
      <w:i/>
      <w:iCs/>
    </w:rPr>
  </w:style>
  <w:style w:type="character" w:customStyle="1" w:styleId="26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afb">
    <w:name w:val="Strong"/>
    <w:uiPriority w:val="22"/>
    <w:qFormat/>
    <w:rPr>
      <w:b/>
      <w:bCs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rPr>
      <w:rFonts w:eastAsia="Arial Unicode MS" w:cs="Arial Unicode MS"/>
      <w:color w:val="000000"/>
      <w:lang w:eastAsia="zh-CN"/>
    </w:rPr>
  </w:style>
  <w:style w:type="character" w:customStyle="1" w:styleId="afd">
    <w:name w:val="Тема примечания Знак"/>
    <w:rPr>
      <w:rFonts w:eastAsia="Arial Unicode MS" w:cs="Arial Unicode MS"/>
      <w:b/>
      <w:bCs/>
      <w:color w:val="000000"/>
      <w:lang w:eastAsia="zh-CN"/>
    </w:rPr>
  </w:style>
  <w:style w:type="character" w:customStyle="1" w:styleId="afe">
    <w:name w:val="Текст выноски Знак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27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rFonts w:eastAsia="Arial Unicode MS" w:cs="Arial Unicode MS"/>
      <w:color w:val="000000"/>
      <w:lang w:eastAsia="zh-CN"/>
    </w:rPr>
  </w:style>
  <w:style w:type="character" w:customStyle="1" w:styleId="articlelayerheaderdatepublished">
    <w:name w:val="article_layer__header_date_published"/>
  </w:style>
  <w:style w:type="character" w:customStyle="1" w:styleId="articlelayerstatbtn">
    <w:name w:val="article_layer__stat_btn"/>
  </w:style>
  <w:style w:type="character" w:customStyle="1" w:styleId="54">
    <w:name w:val="Основной текст (5)"/>
    <w:rPr>
      <w:rFonts w:ascii="Times New Roman" w:hAnsi="Times New Roman" w:cs="Times New Roman"/>
      <w:spacing w:val="0"/>
      <w:sz w:val="27"/>
      <w:szCs w:val="27"/>
    </w:rPr>
  </w:style>
  <w:style w:type="character" w:customStyle="1" w:styleId="aff">
    <w:name w:val="Текст концевой сноски Знак"/>
    <w:rPr>
      <w:rFonts w:eastAsia="Arial Unicode MS" w:cs="Arial Unicode MS"/>
      <w:color w:val="000000"/>
      <w:lang w:eastAsia="zh-CN"/>
    </w:rPr>
  </w:style>
  <w:style w:type="character" w:customStyle="1" w:styleId="aff0">
    <w:name w:val="Символ концевой сноски"/>
    <w:rPr>
      <w:vertAlign w:val="superscript"/>
    </w:rPr>
  </w:style>
  <w:style w:type="paragraph" w:customStyle="1" w:styleId="17">
    <w:name w:val="Заголовок1"/>
    <w:basedOn w:val="a"/>
    <w:next w:val="aff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f1">
    <w:name w:val="Body Text"/>
    <w:pPr>
      <w:spacing w:after="140" w:line="288" w:lineRule="auto"/>
    </w:pPr>
    <w:rPr>
      <w:color w:val="000000"/>
      <w:sz w:val="24"/>
      <w:szCs w:val="24"/>
    </w:rPr>
  </w:style>
  <w:style w:type="paragraph" w:styleId="aff2">
    <w:name w:val="List"/>
    <w:basedOn w:val="aff1"/>
    <w:rPr>
      <w:rFonts w:ascii="PT Sans" w:hAnsi="PT Sans" w:cs="Noto Sans Devanagari"/>
    </w:rPr>
  </w:style>
  <w:style w:type="paragraph" w:customStyle="1" w:styleId="131">
    <w:name w:val="Указатель13"/>
    <w:basedOn w:val="a"/>
    <w:pPr>
      <w:suppressLineNumbers/>
    </w:pPr>
    <w:rPr>
      <w:rFonts w:cs="Mangal"/>
      <w:lang w:val="en-US" w:eastAsia="en-US" w:bidi="en-US"/>
    </w:rPr>
  </w:style>
  <w:style w:type="paragraph" w:customStyle="1" w:styleId="121">
    <w:name w:val="Название объекта12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2">
    <w:name w:val="Указатель12"/>
    <w:basedOn w:val="a"/>
    <w:pPr>
      <w:suppressLineNumbers/>
    </w:pPr>
    <w:rPr>
      <w:rFonts w:ascii="PT Sans" w:hAnsi="PT Sans" w:cs="Noto Sans Devanagari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2">
    <w:name w:val="Указатель1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2">
    <w:name w:val="Указатель10"/>
    <w:basedOn w:val="a"/>
    <w:pPr>
      <w:suppressLineNumbers/>
    </w:pPr>
    <w:rPr>
      <w:rFonts w:cs="Arial"/>
    </w:rPr>
  </w:style>
  <w:style w:type="paragraph" w:customStyle="1" w:styleId="93">
    <w:name w:val="Название объекта9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4">
    <w:name w:val="Указатель9"/>
    <w:basedOn w:val="a"/>
    <w:pPr>
      <w:suppressLineNumbers/>
    </w:pPr>
    <w:rPr>
      <w:rFonts w:cs="Lucida Sans"/>
    </w:rPr>
  </w:style>
  <w:style w:type="paragraph" w:customStyle="1" w:styleId="83">
    <w:name w:val="Название объекта8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4">
    <w:name w:val="Указатель8"/>
    <w:basedOn w:val="a"/>
    <w:pPr>
      <w:suppressLineNumbers/>
    </w:pPr>
    <w:rPr>
      <w:rFonts w:cs="Arial"/>
    </w:rPr>
  </w:style>
  <w:style w:type="paragraph" w:customStyle="1" w:styleId="73">
    <w:name w:val="Название объекта7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74">
    <w:name w:val="Указатель7"/>
    <w:basedOn w:val="a"/>
    <w:pPr>
      <w:suppressLineNumbers/>
    </w:pPr>
    <w:rPr>
      <w:rFonts w:cs="Lucida Sans"/>
    </w:rPr>
  </w:style>
  <w:style w:type="paragraph" w:customStyle="1" w:styleId="63">
    <w:name w:val="Название объекта6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4">
    <w:name w:val="Указатель6"/>
    <w:basedOn w:val="a"/>
    <w:pPr>
      <w:suppressLineNumbers/>
    </w:pPr>
    <w:rPr>
      <w:rFonts w:cs="Lucida Sans"/>
    </w:rPr>
  </w:style>
  <w:style w:type="paragraph" w:customStyle="1" w:styleId="55">
    <w:name w:val="Название объекта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56">
    <w:name w:val="Указатель5"/>
    <w:basedOn w:val="a"/>
    <w:pPr>
      <w:suppressLineNumbers/>
    </w:pPr>
    <w:rPr>
      <w:rFonts w:cs="Lucida Sans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Lucida Sans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Lucida Sans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9">
    <w:name w:val="Указатель2"/>
    <w:basedOn w:val="a"/>
    <w:pPr>
      <w:suppressLineNumbers/>
    </w:pPr>
    <w:rPr>
      <w:rFonts w:cs="Lucida Sans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9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ff3">
    <w:name w:val="Верхн./нижн. кол.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a">
    <w:name w:val="Обычный (веб)1"/>
    <w:pPr>
      <w:spacing w:after="96" w:line="252" w:lineRule="auto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af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a"/>
    <w:pPr>
      <w:spacing w:before="100" w:after="142" w:line="288" w:lineRule="auto"/>
    </w:pPr>
    <w:rPr>
      <w:color w:val="00000A"/>
    </w:rPr>
  </w:style>
  <w:style w:type="paragraph" w:customStyle="1" w:styleId="1b">
    <w:name w:val="Текст примечания1"/>
    <w:basedOn w:val="a"/>
    <w:rPr>
      <w:sz w:val="20"/>
      <w:szCs w:val="20"/>
      <w:lang w:val="en-US"/>
    </w:rPr>
  </w:style>
  <w:style w:type="paragraph" w:styleId="aff6">
    <w:name w:val="annotation subject"/>
    <w:basedOn w:val="1b"/>
    <w:next w:val="1b"/>
    <w:rPr>
      <w:b/>
      <w:bCs/>
    </w:rPr>
  </w:style>
  <w:style w:type="paragraph" w:styleId="aff7">
    <w:name w:val="Balloon Text"/>
    <w:basedOn w:val="a"/>
    <w:rPr>
      <w:rFonts w:ascii="Segoe UI" w:hAnsi="Segoe UI"/>
      <w:sz w:val="18"/>
      <w:szCs w:val="18"/>
      <w:lang w:val="en-US"/>
    </w:rPr>
  </w:style>
  <w:style w:type="paragraph" w:customStyle="1" w:styleId="1c">
    <w:name w:val="Без интервала1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Default">
    <w:name w:val="Default"/>
    <w:rPr>
      <w:rFonts w:ascii="Golos" w:hAnsi="Golos" w:cs="Golos"/>
      <w:color w:val="000000"/>
      <w:sz w:val="24"/>
      <w:szCs w:val="24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jc w:val="both"/>
    </w:pPr>
    <w:rPr>
      <w:rFonts w:ascii="PT Astra Serif" w:eastAsia="Source Han Sans CN Regular" w:hAnsi="PT Astra Serif" w:cs="PT Astra Serif"/>
      <w:sz w:val="28"/>
      <w:szCs w:val="24"/>
    </w:rPr>
  </w:style>
  <w:style w:type="paragraph" w:styleId="aff8">
    <w:name w:val="Normal (Web)"/>
    <w:basedOn w:val="a"/>
    <w:uiPriority w:val="99"/>
    <w:pPr>
      <w:spacing w:before="100" w:after="100"/>
    </w:pPr>
    <w:rPr>
      <w:color w:val="000000"/>
    </w:rPr>
  </w:style>
  <w:style w:type="paragraph" w:customStyle="1" w:styleId="2a">
    <w:name w:val="Текст примечания2"/>
    <w:basedOn w:val="a"/>
    <w:rPr>
      <w:sz w:val="20"/>
      <w:szCs w:val="20"/>
      <w:lang w:val="en-US"/>
    </w:rPr>
  </w:style>
  <w:style w:type="paragraph" w:customStyle="1" w:styleId="aff9">
    <w:name w:val="Содержимое таблицы"/>
    <w:basedOn w:val="a"/>
    <w:pPr>
      <w:widowControl w:val="0"/>
      <w:suppressLineNumbers/>
    </w:pPr>
    <w:rPr>
      <w:rFonts w:ascii="Liberation Serif" w:hAnsi="Liberation Serif" w:cs="Mangal"/>
      <w:color w:val="00000A"/>
      <w:lang w:bidi="hi-I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color w:val="000000"/>
      <w:sz w:val="16"/>
      <w:szCs w:val="16"/>
    </w:rPr>
  </w:style>
  <w:style w:type="paragraph" w:customStyle="1" w:styleId="no-indent">
    <w:name w:val="no-inden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lastModifiedBy>Волосникова Елизавета Александровна</cp:lastModifiedBy>
  <cp:revision>149</cp:revision>
  <dcterms:created xsi:type="dcterms:W3CDTF">2024-08-16T10:03:00Z</dcterms:created>
  <dcterms:modified xsi:type="dcterms:W3CDTF">2026-03-03T10:10:00Z</dcterms:modified>
  <cp:version>983040</cp:version>
</cp:coreProperties>
</file>