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A50D45" w:rsidTr="00D55A0B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A50D45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E81" w:rsidRPr="00A50D45" w:rsidTr="00D55A0B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A50D45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0D45" w:rsidRDefault="003F5600" w:rsidP="00517B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3</w:t>
            </w:r>
            <w:r w:rsidR="00DE0B20" w:rsidRPr="00A50D45">
              <w:rPr>
                <w:rFonts w:ascii="Times New Roman" w:hAnsi="Times New Roman" w:cs="Times New Roman"/>
                <w:b/>
              </w:rPr>
              <w:t xml:space="preserve">а </w:t>
            </w:r>
            <w:r w:rsidR="00517B6D">
              <w:rPr>
                <w:rFonts w:ascii="Times New Roman" w:hAnsi="Times New Roman" w:cs="Times New Roman"/>
                <w:b/>
              </w:rPr>
              <w:t>1</w:t>
            </w:r>
            <w:r w:rsidR="00A16CA8" w:rsidRPr="00A50D45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517B6D">
              <w:rPr>
                <w:rFonts w:ascii="Times New Roman" w:hAnsi="Times New Roman" w:cs="Times New Roman"/>
                <w:b/>
              </w:rPr>
              <w:t>6</w:t>
            </w:r>
            <w:r w:rsidR="00A57E81" w:rsidRPr="00A50D4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A50D45" w:rsidTr="00D55A0B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517B6D" w:rsidRPr="00A50D45" w:rsidTr="00517B6D">
        <w:trPr>
          <w:gridAfter w:val="1"/>
          <w:wAfter w:w="59" w:type="dxa"/>
          <w:trHeight w:val="7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B6D" w:rsidRPr="00517B6D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B6D">
              <w:rPr>
                <w:rFonts w:ascii="Times New Roman" w:hAnsi="Times New Roman" w:cs="Times New Roman"/>
              </w:rPr>
              <w:t>Муниципальное общеобразовательное учреждение Аргаяшская средняя общеобразовательная школа №2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02.02.2026-02.03.2026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01.01.2025-31.01.2026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№П-01/2026 от 12.03.2026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517B6D" w:rsidRDefault="00517B6D" w:rsidP="00517B6D">
            <w:pPr>
              <w:pStyle w:val="a6"/>
              <w:spacing w:after="0" w:line="240" w:lineRule="auto"/>
              <w:ind w:left="34" w:firstLine="391"/>
              <w:contextualSpacing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kern w:val="36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При проверке общих положений установлено - </w:t>
            </w:r>
            <w:r w:rsidRPr="00517B6D">
              <w:rPr>
                <w:rFonts w:ascii="Times New Roman" w:hAnsi="Times New Roman" w:cs="Times New Roman"/>
                <w:bCs/>
                <w:i/>
                <w:kern w:val="36"/>
              </w:rPr>
              <w:t>Положением по оплате труда №1/6 не установлены должностные оклады по должности заведующего столовой, повара, кухонного работника, сопровождающего.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>При проверке соблюдения правовых актов по оплате труда установлено: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- </w:t>
            </w:r>
            <w:r w:rsidRPr="00517B6D">
              <w:rPr>
                <w:rFonts w:ascii="Times New Roman" w:hAnsi="Times New Roman" w:cs="Times New Roman"/>
                <w:i/>
                <w:lang w:eastAsia="ru-RU"/>
              </w:rPr>
              <w:t>В нарушение Положения об установлении системы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 Положения ОУ содержат позиции, не включенные в Положение РУО, либо не соответствующие Положению РУО по своему содержанию.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i/>
                <w:lang w:eastAsia="ru-RU"/>
              </w:rPr>
              <w:t>- Положение о порядке оказания материальной помощи работникам МОУ Аргаяшской СОШ № 2 не соответствует Положению по оплате труда № 1/6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>При проверке оплату труда сотрудников учреждения установлено:</w:t>
            </w:r>
          </w:p>
          <w:p w:rsidR="00517B6D" w:rsidRPr="00517B6D" w:rsidRDefault="00517B6D" w:rsidP="00517B6D">
            <w:pPr>
              <w:pStyle w:val="a6"/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i/>
                <w:lang w:eastAsia="ru-RU"/>
              </w:rPr>
              <w:t>- Нарушение нормативно-правовых актов образовательного учреждения в части не соблюдения их условий и требований (Положение об установлении размеров оплаты труда, Положение о комиссии по распределению стимулирующей части фонда оплаты труда и др.)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>По руководителю: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трудовой договор, в нарушение </w:t>
            </w:r>
            <w:r w:rsidRPr="00517B6D">
              <w:rPr>
                <w:rFonts w:ascii="Times New Roman" w:hAnsi="Times New Roman" w:cs="Times New Roman"/>
                <w:i/>
                <w:spacing w:val="5"/>
                <w:shd w:val="clear" w:color="auto" w:fill="FFFFFF"/>
              </w:rPr>
              <w:t xml:space="preserve">постановления Правительства РФ от 12.04.2013 № 329 «О типовой форме трудового договора с руководителем государственного (муниципального) учреждения», </w:t>
            </w:r>
            <w:r w:rsidRPr="00517B6D">
              <w:rPr>
                <w:rFonts w:ascii="Times New Roman" w:hAnsi="Times New Roman" w:cs="Times New Roman"/>
                <w:i/>
              </w:rPr>
              <w:t xml:space="preserve">не в полном объеме соответствует типовой форме, </w:t>
            </w:r>
            <w:r w:rsidRPr="00517B6D">
              <w:rPr>
                <w:rFonts w:ascii="Times New Roman" w:hAnsi="Times New Roman" w:cs="Times New Roman"/>
                <w:i/>
              </w:rPr>
              <w:lastRenderedPageBreak/>
              <w:t>предусмотренной пунктом 7.1 Положения об оплате труда РУО.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дополнительное соглашение без даты с вступлением в силу с 01.07.2025</w:t>
            </w:r>
            <w:r w:rsidRPr="00517B6D">
              <w:rPr>
                <w:rFonts w:ascii="Times New Roman" w:hAnsi="Times New Roman" w:cs="Times New Roman"/>
              </w:rPr>
              <w:t xml:space="preserve"> </w:t>
            </w:r>
            <w:r w:rsidRPr="00517B6D">
              <w:rPr>
                <w:rFonts w:ascii="Times New Roman" w:hAnsi="Times New Roman" w:cs="Times New Roman"/>
                <w:i/>
              </w:rPr>
              <w:t>заключено к недействующей версии трудового договора, содержит позиции, не соответствующие приказам и Положению по оплате труда РУО.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Дополнительные соглашения на изменение условий трудового договора в соответствии с приказами РУО от 04.09.2025 № 354, от 02.10.2025 № 392 не заключались. </w:t>
            </w:r>
          </w:p>
          <w:p w:rsidR="00517B6D" w:rsidRPr="00517B6D" w:rsidRDefault="00517B6D" w:rsidP="00517B6D">
            <w:pPr>
              <w:widowControl w:val="0"/>
              <w:tabs>
                <w:tab w:val="left" w:pos="1134"/>
              </w:tabs>
              <w:spacing w:after="0" w:line="22" w:lineRule="atLeast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 xml:space="preserve">по должности социальный педагог согласно табелям учета использования рабочего времени, директор выполнял работу из расчета 0,3 ч. в день, т.е. 1,8 ч. в неделю, что не соответствует 0,5 ставки социального педагога (18 ч. в неделю или 3 ч в день).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-  недоплата: за 2025 год с учетом уральского коэффициента 79807,88 руб., за 2026 год с учетом уральского коэффициента 19951,97 руб.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По заместителям директора: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>Виды выплат и их размеры, установленные трудовыми договорами и дополнительными соглашениями к ним, не соответствуют Положению об оплате труда №87-1 и № 1/6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не соответствие должностного оклада, указанного в трудовых договорах от 08.10.2025 г. занимаемой должности, а также видов и размеров компенсационных и стимулирующих выплат, установленных на постоянной основе. 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неправомерные выплаты составили в 2025 году 166932,64 руб. (ст. 211 – 128212,47 руб., ст. 213 – 38720,17 руб.), в 2026 году 8536,90 руб. (ст. 211 – 6556,76 руб., ст. 213 – 1980,14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</w:t>
            </w:r>
            <w:r w:rsidRPr="00517B6D">
              <w:rPr>
                <w:rFonts w:ascii="Times New Roman" w:hAnsi="Times New Roman" w:cs="Times New Roman"/>
                <w:b/>
                <w:i/>
              </w:rPr>
              <w:lastRenderedPageBreak/>
              <w:t>кабинетами, молодым специалистам и другим.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недоплата составила в 2025 году 114269,69 руб. (ст. 211 – 87764,74 руб., ст. 213 – 26504,95 руб.), в 2026 году 549,01 руб. (ст. 211 – 421,67 руб., ст. 213 – 127,34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 выплатам.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По работникам бухгалтерии: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517B6D">
              <w:rPr>
                <w:rFonts w:ascii="Times New Roman" w:eastAsia="Calibri" w:hAnsi="Times New Roman" w:cs="Times New Roman"/>
                <w:bCs/>
                <w:i/>
              </w:rPr>
              <w:t>-  оформление совмещения должностей является неправомерным, в связи с тем, что штатными расписаниями должность контрактного управляющего не предусмотрена.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неправомерные выплаты составили в 2025 году 234417,41 руб. (ст. 211 – 180044,09 руб., ст. 213 – 54373,32 руб.), в 2026 году 22420,57 руб. (ст. 211 – 17220,10 руб., ст. 213 – 5200,47 руб.), в том числе по начисленным выплатам стимулирующего характера.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По педагогическим работникам: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В нарушение пункта 3.3 Положения ОУ по педагогическим работникам установлен объем учебной нагрузки, превышающий или недостающий норму часов, за которую выплачивается ставка заработной платы. В личных делах и документации по начислению заработной платы отсутствуют письменные согласия работников на нагрузку, превышающую норму часов или меньше нормы часов педагогической работы.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>Приказами директора учреждения установлены стимулирующие выплаты, не предусмотренные Положениями по оплате труда №87-1, №1/6, либо размер выплат не соответствует данным Положениям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Кроме установленной тарификационными списками нагрузки педагогическим работникам оплачивались дополнительные часы с формулировкой «из вакансии».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lastRenderedPageBreak/>
              <w:t xml:space="preserve">- Во всех протоколах комиссии по распределению стимулирующих выплат не отражены: экономия фонда оплаты труда, фамилии, суммы, основания начисления стимулирующих выплат, а также решение каждого члена комиссии.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Приказы на установление стимулирующих выплат издавались ранее заседания комиссии по распределению стимулирующих выплат.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Изданные приказы и протоколы комиссии по своему содержанию не соответствуют представлениям и ходатайствам.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Представления и ходатайства в основной массе не содержат даты и подписи заместителя руководителя, а также имеют приписки ручкой.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>Распределение стимулирующих выплат работникам заместителям директора, работникам бухгалтерии и обслуживающему персоналу не выносилось на рассмотрение данной комиссии. Распределение осуществлял непосредственно директор учреждения, без приложения оснований назначения данных выплат, в нарушение пунктов 6.3 и 6.4. Положений по оплате труда № 87-1 и №1/6.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В приказах «О приеме работника на работу», О прекращении (расторжении) трудового договора с работником (увольнении)» установлено отсутствие: обязательной информации:  табельный номер;  условия приема на работу; тарифная ставка (оклад);  испытательный срок; номер и дата трудового договора, с приказом (распоряжением) работник ознакомлен - подпись; личная подпись руководителя организации,  прекратить действие трудового договора (без даты и номера).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отсутствуют приказы на отпуск сотрудников.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 xml:space="preserve">В учреждении не ведется регистрация приказов, в связи с чем, допущена двойная нумерация, нумерация через дробь, тире, либо нарушен порядок регистрации приказов (более поздний номер более ранним числом). 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При проверке личных дел сотрудников установлено, что личные карточки работников не заполнены в полном </w:t>
            </w:r>
            <w:r w:rsidRPr="00517B6D">
              <w:rPr>
                <w:rFonts w:ascii="Times New Roman" w:hAnsi="Times New Roman" w:cs="Times New Roman"/>
                <w:i/>
              </w:rPr>
              <w:lastRenderedPageBreak/>
              <w:t xml:space="preserve">объеме: прием на работу, аттестация, повышение квалификации, отпуск, отсутствует подпись работника и работника кадровой службы.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При принятии на работу работника повторно продолжали вестись прежние личные карточки, новые не заводились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В личных делах отсутствуют заявления о приеме на работу, приказы о приеме на работу, приказы об увольнении, приказы на перевод на другую должность, приказы на возложение дополнительных обязанностей.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Отсутствуют документы об образовании (для проверки соответствия занимаемой должности)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 xml:space="preserve">- заявления сотрудников не содержат даты написания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Приказы датированы ранее наступления события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неправомерные выплаты составили в 2025 году 477302,90 руб. (ст. 211 – 366592,09 руб., ст. 213 – 110710,81 руб.), в 2026 году 42821,41 руб. (ст. 211 – 32888,95 руб., ст. 213 – 9932,46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другим.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недоплата составила в 2025 году 391964,12 руб. (ст. 211 – 301047,71 руб., ст. 213 – 90916,41 руб.), в 2026 году 25269,57 руб. (ст. 211 – 19408,27 руб., ст. 213 – 5861,30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 выплатам.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При проверке конфликта интересов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</w:rPr>
              <w:t xml:space="preserve">- </w:t>
            </w:r>
            <w:r w:rsidRPr="00517B6D">
              <w:rPr>
                <w:rFonts w:ascii="Times New Roman" w:eastAsia="Calibri" w:hAnsi="Times New Roman" w:cs="Times New Roman"/>
                <w:i/>
              </w:rPr>
              <w:t xml:space="preserve">Размеры должностного оклада и стимулирующих выплат не соответствуют Положению по оплате труда </w:t>
            </w:r>
            <w:r w:rsidRPr="00517B6D">
              <w:rPr>
                <w:rFonts w:ascii="Times New Roman" w:eastAsia="Calibri" w:hAnsi="Times New Roman" w:cs="Times New Roman"/>
                <w:i/>
              </w:rPr>
              <w:lastRenderedPageBreak/>
              <w:t>№1/6.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eastAsia="Calibri" w:hAnsi="Times New Roman" w:cs="Times New Roman"/>
                <w:i/>
              </w:rPr>
              <w:t xml:space="preserve">- Работнику установлена норма часов учебной работы – 18 ч. в неделю, что соответствует 0,5 ставки социального педагога. Исходя из чего, работник принят по основному месту работы на 0,5 ставки социального педагога. </w:t>
            </w:r>
          </w:p>
          <w:p w:rsidR="00517B6D" w:rsidRPr="00517B6D" w:rsidRDefault="00517B6D" w:rsidP="00517B6D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eastAsia="Calibri" w:hAnsi="Times New Roman" w:cs="Times New Roman"/>
                <w:i/>
              </w:rPr>
              <w:t>- Согласно сводным ведомостям начисление ведется по основной должности учитель, а социальный педагог и педагог-психолог являются иными педагогическими специальностями, что идет в разрез с документами по оформлению на работу.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неправомерные выплаты составили в 2026 году 5982,05 руб. (ст. 211 – 4594,51 руб., ст. 213 – 1387,54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другим.</w:t>
            </w:r>
          </w:p>
          <w:p w:rsidR="00517B6D" w:rsidRPr="00517B6D" w:rsidRDefault="00517B6D" w:rsidP="00517B6D">
            <w:pPr>
              <w:pStyle w:val="a6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>недоплата составила в 2025 году 16518,37 руб. (ст. 211 – 12686,92 руб., ст. 213 – 3831,45 руб.),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 выплатам.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B6D" w:rsidRPr="00D55A0B" w:rsidRDefault="00517B6D" w:rsidP="00517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517B6D" w:rsidRPr="00D55A0B" w:rsidRDefault="00517B6D" w:rsidP="00E5496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 xml:space="preserve">(исх. № </w:t>
            </w:r>
            <w:r w:rsidR="00E54967">
              <w:rPr>
                <w:rFonts w:ascii="Times New Roman" w:hAnsi="Times New Roman" w:cs="Times New Roman"/>
                <w:lang w:val="en-US"/>
              </w:rPr>
              <w:t>1429</w:t>
            </w:r>
            <w:r w:rsidRPr="00D55A0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</w:t>
            </w:r>
            <w:r w:rsidR="00E5496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.04.2026</w:t>
            </w:r>
            <w:r w:rsidRPr="00D55A0B">
              <w:rPr>
                <w:rFonts w:ascii="Times New Roman" w:hAnsi="Times New Roman" w:cs="Times New Roman"/>
              </w:rPr>
              <w:t>)</w:t>
            </w:r>
          </w:p>
        </w:tc>
      </w:tr>
      <w:tr w:rsidR="00517B6D" w:rsidRPr="00A50D45" w:rsidTr="00517B6D">
        <w:trPr>
          <w:gridAfter w:val="1"/>
          <w:wAfter w:w="59" w:type="dxa"/>
          <w:trHeight w:val="7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517B6D" w:rsidRPr="00517B6D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B6D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 xml:space="preserve">«Бажикаевская </w:t>
            </w:r>
            <w:r w:rsidRPr="00517B6D">
              <w:rPr>
                <w:rFonts w:ascii="Times New Roman" w:hAnsi="Times New Roman" w:cs="Times New Roman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02.03.2026-27.03.2026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01.01.2025-28.02.2026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7B6D" w:rsidRPr="00A50D45" w:rsidRDefault="00517B6D" w:rsidP="00517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№П-02/2026 от 31.03.2026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>При проверке соблюдения правовых актов по оплате труда установлено: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- </w:t>
            </w:r>
            <w:r w:rsidRPr="00517B6D">
              <w:rPr>
                <w:rFonts w:ascii="Times New Roman" w:hAnsi="Times New Roman"/>
                <w:i/>
                <w:lang w:eastAsia="ru-RU"/>
              </w:rPr>
              <w:t>В нарушение пункта 6.2 Положения по оплате труда учреждением не разработаны показатели и критерии оценки эффективности труда работников.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517B6D">
              <w:rPr>
                <w:rFonts w:ascii="Times New Roman" w:hAnsi="Times New Roman"/>
                <w:i/>
                <w:lang w:eastAsia="ru-RU"/>
              </w:rPr>
              <w:t xml:space="preserve">- В нарушение пункта 6.4 Положения по оплате труда отсутствуют решения представительного органа работников на установление выплат стимулирующего характера работникам учреждения.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/>
                <w:b/>
                <w:i/>
                <w:lang w:eastAsia="ru-RU"/>
              </w:rPr>
              <w:t>При проверке оплату труда сотрудников учреждения установлено:</w:t>
            </w:r>
          </w:p>
          <w:p w:rsidR="00517B6D" w:rsidRPr="00517B6D" w:rsidRDefault="00517B6D" w:rsidP="00517B6D">
            <w:pPr>
              <w:pStyle w:val="a6"/>
              <w:tabs>
                <w:tab w:val="left" w:pos="284"/>
                <w:tab w:val="left" w:pos="993"/>
              </w:tabs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517B6D">
              <w:rPr>
                <w:rFonts w:ascii="Times New Roman" w:hAnsi="Times New Roman" w:cs="Times New Roman"/>
                <w:i/>
                <w:lang w:eastAsia="ru-RU"/>
              </w:rPr>
              <w:t>- Нарушение нормативно-правовых актов образовательного учреждения в части не соблюдения их условий и требований (Положение об установлении размеров оплаты труда),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517B6D">
              <w:rPr>
                <w:rFonts w:ascii="Times New Roman" w:hAnsi="Times New Roman"/>
                <w:b/>
                <w:i/>
                <w:lang w:eastAsia="ru-RU"/>
              </w:rPr>
              <w:t>По руководителю: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517B6D">
              <w:rPr>
                <w:rFonts w:ascii="Times New Roman" w:hAnsi="Times New Roman"/>
                <w:i/>
              </w:rPr>
              <w:t xml:space="preserve">- трудовой договор, в нарушение </w:t>
            </w:r>
            <w:r w:rsidRPr="00517B6D">
              <w:rPr>
                <w:rFonts w:ascii="Times New Roman" w:hAnsi="Times New Roman" w:cs="Times New Roman"/>
                <w:i/>
                <w:spacing w:val="5"/>
                <w:shd w:val="clear" w:color="auto" w:fill="FFFFFF"/>
              </w:rPr>
              <w:t xml:space="preserve">постановления Правительства РФ от 12.04.2013 № 329 «О типовой форме трудового договора с руководителем государственного (муниципального) учреждения», </w:t>
            </w:r>
            <w:r w:rsidRPr="00517B6D">
              <w:rPr>
                <w:rFonts w:ascii="Times New Roman" w:hAnsi="Times New Roman"/>
                <w:i/>
              </w:rPr>
              <w:t>не в полном объеме соответствует типовой форме, предусмотренной пунктом 7.1 Положения об оплате труда РУО.</w:t>
            </w:r>
          </w:p>
          <w:p w:rsidR="00517B6D" w:rsidRPr="00517B6D" w:rsidRDefault="00517B6D" w:rsidP="00517B6D">
            <w:pPr>
              <w:widowControl w:val="0"/>
              <w:tabs>
                <w:tab w:val="left" w:pos="1134"/>
              </w:tabs>
              <w:spacing w:after="0" w:line="22" w:lineRule="atLeast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- недоплата выплаты за выслугу лет составила:</w:t>
            </w:r>
          </w:p>
          <w:p w:rsidR="00517B6D" w:rsidRPr="00517B6D" w:rsidRDefault="00517B6D" w:rsidP="00517B6D">
            <w:pPr>
              <w:widowControl w:val="0"/>
              <w:tabs>
                <w:tab w:val="left" w:pos="1134"/>
              </w:tabs>
              <w:spacing w:after="0" w:line="22" w:lineRule="atLeast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- за 2025 год – 1084,15 руб. (ст. 211 – 832,68 руб., ст. 213 – 251,47 руб.)</w:t>
            </w:r>
          </w:p>
          <w:p w:rsidR="00517B6D" w:rsidRPr="00517B6D" w:rsidRDefault="00517B6D" w:rsidP="00517B6D">
            <w:pPr>
              <w:widowControl w:val="0"/>
              <w:tabs>
                <w:tab w:val="left" w:pos="1134"/>
              </w:tabs>
              <w:spacing w:after="0" w:line="22" w:lineRule="atLeast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- за 2026 год – 256,96 руб. (ст. 211 – 197,36 руб., ст. 213 – 59,60 руб.)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 xml:space="preserve">По заместителям директора: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 xml:space="preserve">- Виды выплат и их размеры, установленные трудовыми договорами и дополнительными соглашениями к ним, не соответствуют Положению по оплате труда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Должность, занимаемая работником согласно тарификационным спискам, не соответствует должности, согласно трудовому договору.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 xml:space="preserve">- неверное ведение табелей учета использования рабочего времени - отсутствуют данные о больничном листе, либо данные о нахождении работника на </w:t>
            </w:r>
            <w:r w:rsidRPr="00517B6D">
              <w:rPr>
                <w:rFonts w:ascii="Times New Roman" w:hAnsi="Times New Roman"/>
                <w:i/>
              </w:rPr>
              <w:lastRenderedPageBreak/>
              <w:t xml:space="preserve">больничном  ошибочны, 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 xml:space="preserve">- При расчете доплаты за временное исполнение обязанностей директора не учтен стаж работы на руководящих должностях. 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неверно произведен расчет доплаты за выслугу лет – отсутствие стажа по должности социальный педагог и педагог-психолог.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расчет заработной платы произведен за полный месяц, при наличии оплаченного больничного листа,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Начисления доплаты за временное исполнение обязанностей директора не производились.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Требования по уровню и направлению образования при назначении на должность заместителя директора по воспитательной работе не выполнены.</w:t>
            </w:r>
          </w:p>
          <w:p w:rsidR="00517B6D" w:rsidRPr="00517B6D" w:rsidRDefault="00517B6D" w:rsidP="00517B6D">
            <w:pPr>
              <w:shd w:val="clear" w:color="auto" w:fill="FFFFFF"/>
              <w:tabs>
                <w:tab w:val="left" w:pos="739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не произведен расчет доплаты за замену классного руководителя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неверный расчет доплаты за заведование учебными кабинетами,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17B6D">
              <w:rPr>
                <w:rFonts w:ascii="Times New Roman" w:hAnsi="Times New Roman"/>
                <w:i/>
              </w:rPr>
              <w:t>- неверный расчет доплаты за категорию, при ее отсутствии по занимаемой должности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- неправомерные выплаты составили: за 2025 год 57568,37 руб. (ст. 211 – 44215,34 руб., ст. 213 – 13353,03 руб.), за 2026 год в размере 6664,46 руб. (ст. 211 – 6664,46 руб., ст. 213 – 2012,67 руб.)</w:t>
            </w:r>
          </w:p>
          <w:p w:rsidR="00517B6D" w:rsidRPr="00517B6D" w:rsidRDefault="00517B6D" w:rsidP="00517B6D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- Недоплата сотруднику за 2026 год составила 8677,13 руб. (ст. 211 – 9923,65 руб., ст. 213 – 2996,94 руб.)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По педагогическим работникам: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неверные расчеты выплат за замену классного руководителя, руководство методическими объединениями, заведование учебными кабинетами, выслугу лет, наличие категории.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- неправомерные выплаты составили за 2025 год - </w:t>
            </w:r>
            <w:r w:rsidRPr="00517B6D">
              <w:rPr>
                <w:rFonts w:ascii="Times New Roman" w:hAnsi="Times New Roman"/>
                <w:b/>
                <w:i/>
              </w:rPr>
              <w:t>39516,23 руб. (ст. 211 – 30350,41 руб., ст. 213 – 9165,82 руб.)</w:t>
            </w:r>
            <w:r w:rsidRPr="00517B6D">
              <w:rPr>
                <w:rFonts w:ascii="Times New Roman" w:hAnsi="Times New Roman" w:cs="Times New Roman"/>
                <w:b/>
                <w:i/>
              </w:rPr>
              <w:t xml:space="preserve">, за 2026 год – </w:t>
            </w:r>
            <w:r w:rsidRPr="00517B6D">
              <w:rPr>
                <w:rFonts w:ascii="Times New Roman" w:hAnsi="Times New Roman"/>
                <w:b/>
                <w:i/>
              </w:rPr>
              <w:t>17254,33 руб. (ст. 211 – 13252,17 руб., ст. 213 – 4002,16  руб.)</w:t>
            </w:r>
            <w:r w:rsidRPr="00517B6D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</w:t>
            </w:r>
            <w:r w:rsidRPr="00517B6D">
              <w:rPr>
                <w:rFonts w:ascii="Times New Roman" w:hAnsi="Times New Roman" w:cs="Times New Roman"/>
                <w:b/>
                <w:i/>
              </w:rPr>
              <w:t xml:space="preserve"> недоплата составила за 2025 год – </w:t>
            </w:r>
            <w:r w:rsidRPr="00517B6D">
              <w:rPr>
                <w:rFonts w:ascii="Times New Roman" w:hAnsi="Times New Roman"/>
                <w:b/>
                <w:i/>
              </w:rPr>
              <w:t>14211,98 руб. (ст. 211 – 10915,50 руб., ст. 213 – 3296,48 руб.)</w:t>
            </w:r>
            <w:r w:rsidRPr="00517B6D">
              <w:rPr>
                <w:rFonts w:ascii="Times New Roman" w:hAnsi="Times New Roman" w:cs="Times New Roman"/>
                <w:b/>
                <w:i/>
              </w:rPr>
              <w:t xml:space="preserve">,  за 2026 год – </w:t>
            </w:r>
            <w:r w:rsidRPr="00517B6D">
              <w:rPr>
                <w:rFonts w:ascii="Times New Roman" w:hAnsi="Times New Roman"/>
                <w:b/>
                <w:i/>
              </w:rPr>
              <w:t xml:space="preserve">18836,10 руб. (ст. 211 – 14467,05 руб., ст. 213 – </w:t>
            </w:r>
            <w:r w:rsidRPr="00517B6D">
              <w:rPr>
                <w:rFonts w:ascii="Times New Roman" w:hAnsi="Times New Roman"/>
                <w:b/>
                <w:i/>
              </w:rPr>
              <w:lastRenderedPageBreak/>
              <w:t>4369,05 руб.)</w:t>
            </w:r>
            <w:r w:rsidRPr="00517B6D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517B6D" w:rsidRPr="00517B6D" w:rsidRDefault="00517B6D" w:rsidP="00517B6D">
            <w:pPr>
              <w:pStyle w:val="a6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517B6D">
              <w:rPr>
                <w:rFonts w:ascii="Times New Roman" w:hAnsi="Times New Roman" w:cs="Times New Roman"/>
                <w:i/>
              </w:rPr>
              <w:t>Табели учета использования рабочего времени ведутся с нарушением: отметки о фактически отработанном времени не совпадают с реальностью (ошибочно проставлено нахождение на больничном листе, либо наоборот рабочее время, в период нахождения на больничном листе),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в личных делах отсутствуют личные карточки работника, заявлении о приеме на работу, переводе на другую должность, приказы о приеме на работу или переводе на другую должность,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условия оплаты труда работников, отраженные в трудовых договорах, заключенных с работниками не соответствуют Положению по оплате труда в части должностных окладов и выплат компенсационного и стимулирующего характера,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 дополнительные соглашения к трудовым договорам на изменение условий работы или оплаты не заключались,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</w:rPr>
            </w:pPr>
            <w:r w:rsidRPr="00517B6D">
              <w:rPr>
                <w:rFonts w:ascii="Times New Roman" w:hAnsi="Times New Roman" w:cs="Times New Roman"/>
                <w:i/>
              </w:rPr>
              <w:t>- с приказами о приеме на работу, о прекращении трудового договора, переводе на работу не ознакомлены работники,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17B6D">
              <w:rPr>
                <w:rFonts w:ascii="Times New Roman" w:hAnsi="Times New Roman" w:cs="Times New Roman"/>
                <w:i/>
              </w:rPr>
              <w:t>- в приказах отсутствуют табельные номера, тарифные ставки (оклады).</w:t>
            </w:r>
          </w:p>
          <w:p w:rsidR="00517B6D" w:rsidRPr="00517B6D" w:rsidRDefault="00517B6D" w:rsidP="00517B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i/>
              </w:rPr>
            </w:pPr>
            <w:r w:rsidRPr="00517B6D">
              <w:rPr>
                <w:rFonts w:ascii="Times New Roman" w:hAnsi="Times New Roman"/>
                <w:b/>
                <w:i/>
              </w:rPr>
              <w:t>При проверке конфликта интересов установлено: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eastAsia="Calibri" w:hAnsi="Times New Roman" w:cs="Times New Roman"/>
                <w:i/>
              </w:rPr>
              <w:t>- Размеры должностного оклада и стимулирующих выплат, установленные трудовым договором  не соответствуют Положению по оплате труда №1/6.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eastAsia="Calibri" w:hAnsi="Times New Roman" w:cs="Times New Roman"/>
              </w:rPr>
              <w:t>- д</w:t>
            </w:r>
            <w:r w:rsidRPr="00517B6D">
              <w:rPr>
                <w:rFonts w:ascii="Times New Roman" w:eastAsia="Calibri" w:hAnsi="Times New Roman" w:cs="Times New Roman"/>
                <w:i/>
              </w:rPr>
              <w:t>ополнительные соглашения на изменение должности или условий оплаты труда к проверке не представлены,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7B6D">
              <w:rPr>
                <w:rFonts w:ascii="Times New Roman" w:eastAsia="Calibri" w:hAnsi="Times New Roman" w:cs="Times New Roman"/>
                <w:i/>
              </w:rPr>
              <w:t>- обязанность по уведомлению об изменении  трудовых обязанностей сестры не выполнена,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17B6D">
              <w:rPr>
                <w:rFonts w:ascii="Times New Roman" w:eastAsia="Calibri" w:hAnsi="Times New Roman" w:cs="Times New Roman"/>
                <w:b/>
                <w:i/>
              </w:rPr>
              <w:t xml:space="preserve">- неправомерные выплаты за 2025 год составили </w:t>
            </w:r>
            <w:r w:rsidRPr="00517B6D">
              <w:rPr>
                <w:rFonts w:ascii="Times New Roman" w:hAnsi="Times New Roman"/>
                <w:b/>
                <w:i/>
              </w:rPr>
              <w:t>62025,31 руб. (ст. 211 – 47638,49 руб., ст. 213 – 14386,82 руб.)</w:t>
            </w:r>
            <w:r w:rsidRPr="00517B6D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17B6D">
              <w:rPr>
                <w:rFonts w:ascii="Times New Roman" w:eastAsia="Calibri" w:hAnsi="Times New Roman" w:cs="Times New Roman"/>
                <w:b/>
                <w:i/>
              </w:rPr>
              <w:t xml:space="preserve">- недоплата за 2026 год – </w:t>
            </w:r>
            <w:r w:rsidRPr="00517B6D">
              <w:rPr>
                <w:rFonts w:ascii="Times New Roman" w:hAnsi="Times New Roman"/>
                <w:b/>
                <w:i/>
              </w:rPr>
              <w:t>21618,84 руб. (ст. 211 – 16604,33 руб., ст. 213 – 5014,51 руб.)</w:t>
            </w:r>
            <w:r w:rsidRPr="00517B6D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517B6D" w:rsidRPr="00517B6D" w:rsidRDefault="00517B6D" w:rsidP="00517B6D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:rsidR="00517B6D" w:rsidRPr="00D55A0B" w:rsidRDefault="00517B6D" w:rsidP="00517B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517B6D" w:rsidRPr="00D55A0B" w:rsidRDefault="00517B6D" w:rsidP="00E5496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 xml:space="preserve">(исх. № </w:t>
            </w:r>
            <w:r w:rsidR="00E54967">
              <w:rPr>
                <w:rFonts w:ascii="Times New Roman" w:hAnsi="Times New Roman" w:cs="Times New Roman"/>
                <w:lang w:val="en-US"/>
              </w:rPr>
              <w:t>1868</w:t>
            </w:r>
            <w:r w:rsidRPr="00D55A0B">
              <w:rPr>
                <w:rFonts w:ascii="Times New Roman" w:hAnsi="Times New Roman" w:cs="Times New Roman"/>
              </w:rPr>
              <w:t xml:space="preserve"> от </w:t>
            </w:r>
            <w:r w:rsidR="00E5496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3.04.2026</w:t>
            </w:r>
            <w:r w:rsidRPr="00D55A0B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17B6D" w:rsidRPr="001B05D0" w:rsidRDefault="00517B6D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300241" w:rsidRPr="00DC10E0" w:rsidRDefault="00517B6D" w:rsidP="00517B6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>онтрольны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>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 xml:space="preserve"> не проводились. </w:t>
      </w:r>
    </w:p>
    <w:p w:rsidR="00AF45DA" w:rsidRDefault="00AF45DA" w:rsidP="00AF45DA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C0" w:rsidRDefault="00E260C0" w:rsidP="00A12084">
      <w:pPr>
        <w:spacing w:after="0" w:line="240" w:lineRule="auto"/>
      </w:pPr>
      <w:r>
        <w:separator/>
      </w:r>
    </w:p>
  </w:endnote>
  <w:endnote w:type="continuationSeparator" w:id="1">
    <w:p w:rsidR="00E260C0" w:rsidRDefault="00E260C0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C0" w:rsidRDefault="00E260C0" w:rsidP="00A12084">
      <w:pPr>
        <w:spacing w:after="0" w:line="240" w:lineRule="auto"/>
      </w:pPr>
      <w:r>
        <w:separator/>
      </w:r>
    </w:p>
  </w:footnote>
  <w:footnote w:type="continuationSeparator" w:id="1">
    <w:p w:rsidR="00E260C0" w:rsidRDefault="00E260C0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7EB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080F5D1C"/>
    <w:multiLevelType w:val="hybridMultilevel"/>
    <w:tmpl w:val="814486FA"/>
    <w:lvl w:ilvl="0" w:tplc="567C2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7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C2D1C"/>
    <w:multiLevelType w:val="hybridMultilevel"/>
    <w:tmpl w:val="95266D5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79A34E5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11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9683AC1"/>
    <w:multiLevelType w:val="hybridMultilevel"/>
    <w:tmpl w:val="7288299A"/>
    <w:lvl w:ilvl="0" w:tplc="F498F6D2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34CBE"/>
    <w:multiLevelType w:val="hybridMultilevel"/>
    <w:tmpl w:val="E4482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D4D2E3F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D01E40"/>
    <w:multiLevelType w:val="hybridMultilevel"/>
    <w:tmpl w:val="4A2C0B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A895E96"/>
    <w:multiLevelType w:val="hybridMultilevel"/>
    <w:tmpl w:val="AC3C26B8"/>
    <w:lvl w:ilvl="0" w:tplc="370E86A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B71AE6"/>
    <w:multiLevelType w:val="hybridMultilevel"/>
    <w:tmpl w:val="93D261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1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2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22"/>
  </w:num>
  <w:num w:numId="5">
    <w:abstractNumId w:val="1"/>
  </w:num>
  <w:num w:numId="6">
    <w:abstractNumId w:val="6"/>
  </w:num>
  <w:num w:numId="7">
    <w:abstractNumId w:val="30"/>
  </w:num>
  <w:num w:numId="8">
    <w:abstractNumId w:val="29"/>
  </w:num>
  <w:num w:numId="9">
    <w:abstractNumId w:val="21"/>
  </w:num>
  <w:num w:numId="10">
    <w:abstractNumId w:val="14"/>
  </w:num>
  <w:num w:numId="11">
    <w:abstractNumId w:val="7"/>
  </w:num>
  <w:num w:numId="12">
    <w:abstractNumId w:val="34"/>
  </w:num>
  <w:num w:numId="13">
    <w:abstractNumId w:val="33"/>
  </w:num>
  <w:num w:numId="14">
    <w:abstractNumId w:val="16"/>
  </w:num>
  <w:num w:numId="15">
    <w:abstractNumId w:val="17"/>
  </w:num>
  <w:num w:numId="16">
    <w:abstractNumId w:val="3"/>
  </w:num>
  <w:num w:numId="17">
    <w:abstractNumId w:val="11"/>
  </w:num>
  <w:num w:numId="18">
    <w:abstractNumId w:val="20"/>
  </w:num>
  <w:num w:numId="19">
    <w:abstractNumId w:val="0"/>
  </w:num>
  <w:num w:numId="20">
    <w:abstractNumId w:val="32"/>
  </w:num>
  <w:num w:numId="21">
    <w:abstractNumId w:val="24"/>
  </w:num>
  <w:num w:numId="22">
    <w:abstractNumId w:val="4"/>
  </w:num>
  <w:num w:numId="23">
    <w:abstractNumId w:val="15"/>
  </w:num>
  <w:num w:numId="24">
    <w:abstractNumId w:val="18"/>
  </w:num>
  <w:num w:numId="25">
    <w:abstractNumId w:val="13"/>
  </w:num>
  <w:num w:numId="26">
    <w:abstractNumId w:val="10"/>
  </w:num>
  <w:num w:numId="27">
    <w:abstractNumId w:val="12"/>
  </w:num>
  <w:num w:numId="28">
    <w:abstractNumId w:val="2"/>
  </w:num>
  <w:num w:numId="29">
    <w:abstractNumId w:val="27"/>
  </w:num>
  <w:num w:numId="30">
    <w:abstractNumId w:val="9"/>
  </w:num>
  <w:num w:numId="31">
    <w:abstractNumId w:val="26"/>
  </w:num>
  <w:num w:numId="32">
    <w:abstractNumId w:val="28"/>
  </w:num>
  <w:num w:numId="33">
    <w:abstractNumId w:val="23"/>
  </w:num>
  <w:num w:numId="34">
    <w:abstractNumId w:val="25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C1E27"/>
    <w:rsid w:val="000D72E5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648A6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162BD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92578"/>
    <w:rsid w:val="002A117F"/>
    <w:rsid w:val="002A3560"/>
    <w:rsid w:val="002C2EC7"/>
    <w:rsid w:val="002C5AD3"/>
    <w:rsid w:val="002C7C15"/>
    <w:rsid w:val="002D15A3"/>
    <w:rsid w:val="002D22D5"/>
    <w:rsid w:val="002D2AC1"/>
    <w:rsid w:val="002D3240"/>
    <w:rsid w:val="002D73C3"/>
    <w:rsid w:val="002E7964"/>
    <w:rsid w:val="00300241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17B6D"/>
    <w:rsid w:val="00542F7F"/>
    <w:rsid w:val="005445A0"/>
    <w:rsid w:val="005509B2"/>
    <w:rsid w:val="00563E83"/>
    <w:rsid w:val="005B42E1"/>
    <w:rsid w:val="005B517A"/>
    <w:rsid w:val="005C4E7F"/>
    <w:rsid w:val="005C569F"/>
    <w:rsid w:val="005D1326"/>
    <w:rsid w:val="005D4048"/>
    <w:rsid w:val="005D6967"/>
    <w:rsid w:val="005E2F6E"/>
    <w:rsid w:val="005E48DB"/>
    <w:rsid w:val="005E5FE5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63070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2FFB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0D45"/>
    <w:rsid w:val="00A55447"/>
    <w:rsid w:val="00A57E81"/>
    <w:rsid w:val="00A66CD8"/>
    <w:rsid w:val="00A67EEB"/>
    <w:rsid w:val="00AA16C4"/>
    <w:rsid w:val="00AA441A"/>
    <w:rsid w:val="00AC3C90"/>
    <w:rsid w:val="00AE139D"/>
    <w:rsid w:val="00AF45DA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5606A"/>
    <w:rsid w:val="00C672E9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55A0B"/>
    <w:rsid w:val="00D67245"/>
    <w:rsid w:val="00D67D1B"/>
    <w:rsid w:val="00D77143"/>
    <w:rsid w:val="00D83577"/>
    <w:rsid w:val="00DC10E0"/>
    <w:rsid w:val="00DE0B20"/>
    <w:rsid w:val="00E03015"/>
    <w:rsid w:val="00E07C35"/>
    <w:rsid w:val="00E125C2"/>
    <w:rsid w:val="00E149AE"/>
    <w:rsid w:val="00E14CB0"/>
    <w:rsid w:val="00E23405"/>
    <w:rsid w:val="00E260C0"/>
    <w:rsid w:val="00E41A87"/>
    <w:rsid w:val="00E431C1"/>
    <w:rsid w:val="00E54967"/>
    <w:rsid w:val="00E64ED8"/>
    <w:rsid w:val="00E82619"/>
    <w:rsid w:val="00E91A9F"/>
    <w:rsid w:val="00EA047B"/>
    <w:rsid w:val="00EB6CAC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basedOn w:val="a0"/>
    <w:rsid w:val="005E5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e">
    <w:name w:val="Body Text Indent"/>
    <w:basedOn w:val="a"/>
    <w:link w:val="af"/>
    <w:rsid w:val="005E5FE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E5FE5"/>
    <w:rPr>
      <w:rFonts w:ascii="Calibri" w:eastAsia="Calibri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4</cp:revision>
  <cp:lastPrinted>2022-10-27T05:54:00Z</cp:lastPrinted>
  <dcterms:created xsi:type="dcterms:W3CDTF">2026-04-01T05:36:00Z</dcterms:created>
  <dcterms:modified xsi:type="dcterms:W3CDTF">2026-05-04T03:43:00Z</dcterms:modified>
</cp:coreProperties>
</file>