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79" w:rsidRPr="00134E79" w:rsidRDefault="00134E79" w:rsidP="0013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4E79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ЧЕЛЯБИНСКАЯ ОБЛАСТЬ</w:t>
      </w:r>
    </w:p>
    <w:p w:rsidR="00134E79" w:rsidRPr="00134E79" w:rsidRDefault="00134E79" w:rsidP="0013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4E79">
        <w:rPr>
          <w:rFonts w:ascii="Times New Roman" w:eastAsia="Times New Roman" w:hAnsi="Times New Roman" w:cs="Times New Roman"/>
          <w:sz w:val="24"/>
          <w:szCs w:val="24"/>
          <w:lang w:eastAsia="ar-SA"/>
        </w:rPr>
        <w:t>АРГАЯШСКИЙ МУНИЦИПАЛЬНЫЙ РАЙОН</w:t>
      </w:r>
    </w:p>
    <w:p w:rsidR="00134E79" w:rsidRPr="00134E79" w:rsidRDefault="00134E79" w:rsidP="0013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4E79">
        <w:rPr>
          <w:rFonts w:ascii="Times New Roman" w:eastAsia="Times New Roman" w:hAnsi="Times New Roman" w:cs="Times New Roman"/>
          <w:sz w:val="24"/>
          <w:szCs w:val="24"/>
          <w:lang w:eastAsia="ar-SA"/>
        </w:rPr>
        <w:t>АКБАШЕВСКОЕ СЕЛЬСКОЕ ПОСЕЛЕНИЕ</w:t>
      </w:r>
    </w:p>
    <w:p w:rsidR="00134E79" w:rsidRPr="00134E79" w:rsidRDefault="00134E79" w:rsidP="00134E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1"/>
          <w:lang w:eastAsia="ru-RU" w:bidi="ru-RU"/>
        </w:rPr>
      </w:pPr>
    </w:p>
    <w:p w:rsidR="00134E79" w:rsidRPr="00134E79" w:rsidRDefault="00134E79" w:rsidP="00134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34E7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Проект (внесение изменений) Генерального плана и Правил землепользования и застройки </w:t>
      </w: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spellStart"/>
      <w:r w:rsidRPr="00134E7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Акбашевского</w:t>
      </w:r>
      <w:proofErr w:type="spellEnd"/>
      <w:r w:rsidRPr="00134E7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сельского поселения </w:t>
      </w: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spellStart"/>
      <w:r w:rsidRPr="00134E7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Аргаяшского</w:t>
      </w:r>
      <w:proofErr w:type="spellEnd"/>
      <w:r w:rsidRPr="00134E7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муниципального района </w:t>
      </w: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34E7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Челябинской области</w:t>
      </w: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34E79">
        <w:rPr>
          <w:rFonts w:ascii="Times New Roman" w:eastAsia="Times New Roman" w:hAnsi="Times New Roman" w:cs="Times New Roman"/>
          <w:sz w:val="32"/>
          <w:szCs w:val="32"/>
          <w:lang w:eastAsia="ar-SA"/>
        </w:rPr>
        <w:t>Правила землепользования и застройки</w:t>
      </w: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34E79">
        <w:rPr>
          <w:rFonts w:ascii="Times New Roman" w:eastAsia="Times New Roman" w:hAnsi="Times New Roman" w:cs="Times New Roman"/>
          <w:sz w:val="32"/>
          <w:szCs w:val="32"/>
          <w:lang w:eastAsia="ar-SA"/>
        </w:rPr>
        <w:t>Раздел 1. Порядок применения и внесения изменений</w:t>
      </w: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2777"/>
        <w:gridCol w:w="2146"/>
        <w:gridCol w:w="2590"/>
        <w:gridCol w:w="1843"/>
      </w:tblGrid>
      <w:tr w:rsidR="00134E79" w:rsidRPr="00134E79" w:rsidTr="003C18F9">
        <w:trPr>
          <w:trHeight w:val="454"/>
        </w:trPr>
        <w:tc>
          <w:tcPr>
            <w:tcW w:w="2777" w:type="dxa"/>
            <w:shd w:val="clear" w:color="auto" w:fill="auto"/>
            <w:vAlign w:val="center"/>
          </w:tcPr>
          <w:p w:rsidR="00134E79" w:rsidRPr="00134E79" w:rsidRDefault="00134E79" w:rsidP="0013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579" w:type="dxa"/>
            <w:gridSpan w:val="3"/>
            <w:shd w:val="clear" w:color="auto" w:fill="auto"/>
            <w:vAlign w:val="center"/>
          </w:tcPr>
          <w:p w:rsidR="00134E79" w:rsidRPr="00134E79" w:rsidRDefault="00134E79" w:rsidP="0013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79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29845</wp:posOffset>
                  </wp:positionV>
                  <wp:extent cx="1336040" cy="1336040"/>
                  <wp:effectExtent l="19050" t="0" r="0" b="0"/>
                  <wp:wrapNone/>
                  <wp:docPr id="3" name="Рисунок 7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4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Чебаркульского муниципального района</w:t>
            </w:r>
          </w:p>
        </w:tc>
      </w:tr>
      <w:tr w:rsidR="00134E79" w:rsidRPr="00134E79" w:rsidTr="003C18F9">
        <w:trPr>
          <w:trHeight w:val="454"/>
        </w:trPr>
        <w:tc>
          <w:tcPr>
            <w:tcW w:w="4923" w:type="dxa"/>
            <w:gridSpan w:val="2"/>
            <w:shd w:val="clear" w:color="auto" w:fill="auto"/>
            <w:vAlign w:val="center"/>
          </w:tcPr>
          <w:p w:rsidR="00134E79" w:rsidRPr="00134E79" w:rsidRDefault="00134E79" w:rsidP="0013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134E79" w:rsidRPr="00134E79" w:rsidRDefault="00134E79" w:rsidP="0013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79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168275</wp:posOffset>
                  </wp:positionV>
                  <wp:extent cx="541655" cy="321945"/>
                  <wp:effectExtent l="19050" t="0" r="0" b="0"/>
                  <wp:wrapNone/>
                  <wp:docPr id="4" name="Рисунок 6" descr="ПОДПИСЬ МО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ДПИСЬ МО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E79" w:rsidRPr="00134E79" w:rsidRDefault="00134E79" w:rsidP="0013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E79" w:rsidRPr="00134E79" w:rsidTr="003C18F9">
        <w:trPr>
          <w:trHeight w:val="454"/>
        </w:trPr>
        <w:tc>
          <w:tcPr>
            <w:tcW w:w="4923" w:type="dxa"/>
            <w:gridSpan w:val="2"/>
            <w:shd w:val="clear" w:color="auto" w:fill="auto"/>
            <w:vAlign w:val="center"/>
          </w:tcPr>
          <w:p w:rsidR="00134E79" w:rsidRPr="00134E79" w:rsidRDefault="00134E79" w:rsidP="0013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34E79" w:rsidRPr="00134E79" w:rsidRDefault="00134E79" w:rsidP="0013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E79" w:rsidRPr="00134E79" w:rsidRDefault="00134E79" w:rsidP="0013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С.С..</w:t>
            </w:r>
          </w:p>
        </w:tc>
      </w:tr>
    </w:tbl>
    <w:p w:rsidR="00134E79" w:rsidRPr="00134E79" w:rsidRDefault="00134E79" w:rsidP="00134E79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34E79" w:rsidRPr="00134E79" w:rsidRDefault="00134E79" w:rsidP="00134E7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4E79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Челябинск, 2024г.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4B4A8B" w:rsidRDefault="00ED5578" w:rsidP="00ED7A46">
          <w:pPr>
            <w:pStyle w:val="a4"/>
            <w:jc w:val="both"/>
            <w:rPr>
              <w:rFonts w:ascii="Times New Roman" w:hAnsi="Times New Roman" w:cs="Times New Roman"/>
              <w:b/>
              <w:bCs/>
              <w:color w:val="auto"/>
            </w:rPr>
          </w:pPr>
          <w:r w:rsidRPr="004B4A8B">
            <w:rPr>
              <w:rFonts w:ascii="Times New Roman" w:hAnsi="Times New Roman" w:cs="Times New Roman"/>
            </w:rPr>
            <w:t>Оглавление</w:t>
          </w:r>
        </w:p>
        <w:p w:rsidR="004B4A8B" w:rsidRPr="004B4A8B" w:rsidRDefault="007A7A05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7A7A05">
            <w:rPr>
              <w:rFonts w:ascii="Times New Roman" w:hAnsi="Times New Roman"/>
            </w:rPr>
            <w:fldChar w:fldCharType="begin"/>
          </w:r>
          <w:r w:rsidR="00ED5578" w:rsidRPr="004B4A8B">
            <w:rPr>
              <w:rFonts w:ascii="Times New Roman" w:hAnsi="Times New Roman"/>
            </w:rPr>
            <w:instrText xml:space="preserve"> TOC \o "1-3" \h \z \u </w:instrText>
          </w:r>
          <w:r w:rsidRPr="007A7A05">
            <w:rPr>
              <w:rFonts w:ascii="Times New Roman" w:hAnsi="Times New Roman"/>
            </w:rPr>
            <w:fldChar w:fldCharType="separate"/>
          </w:r>
          <w:hyperlink w:anchor="_Toc49362021" w:history="1">
            <w:r w:rsidR="004B4A8B" w:rsidRPr="004B4A8B">
              <w:rPr>
                <w:rStyle w:val="a3"/>
                <w:rFonts w:ascii="Times New Roman" w:hAnsi="Times New Roman"/>
              </w:rPr>
              <w:t>РАЗДЕЛ 1. ПОРЯДОК ПРИМЕНЕНИЯ ПРАВИЛ ЗЕМЛЕПОЛЬЗОВАНИЯ И ЗАСТРОЙКИ И ВНЕСЕНИЯ В НИХ ИЗМЕНЕНИЙ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_Toc49362021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4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22" w:history="1">
            <w:r w:rsidR="004B4A8B" w:rsidRPr="004B4A8B">
              <w:rPr>
                <w:rStyle w:val="a3"/>
                <w:rFonts w:ascii="Times New Roman" w:hAnsi="Times New Roman"/>
              </w:rPr>
              <w:t>Глава 1. Общие положения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_Toc49362022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4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1. Отношения, регулируемые Правилами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_Toc49362023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4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2. Понятия и определения, используемые в Правилах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_Toc49362024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4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3. Действие Правил землепользования и застройки во времени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_Toc49362025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7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4. Территориальные зоны и зоны с особыми условиями использования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_Toc49362026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7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5. Градостроительные регламенты и их применение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_Toc49362027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8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_Toc49362028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10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29" w:history="1">
            <w:r w:rsidR="004B4A8B" w:rsidRPr="004B4A8B">
              <w:rPr>
                <w:rStyle w:val="a3"/>
                <w:rFonts w:ascii="Times New Roman" w:hAnsi="Times New Roman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_Toc49362029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11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7. Вопросы местного значения сельского поселения в области градостроительства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_Toc49362030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11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8. Субъекты полномочий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_Toc49362031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2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9. Полномочия по утверждению Правил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_Toc49362032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_Toc49362033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_Toc49362034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35" w:history="1">
            <w:r w:rsidR="004B4A8B" w:rsidRPr="004B4A8B">
              <w:rPr>
                <w:rStyle w:val="a3"/>
                <w:rFonts w:ascii="Times New Roman" w:hAnsi="Times New Roman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_Toc49362035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13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_Toc49362036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13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_Toc49362037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13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_Toc49362038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14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39" w:history="1">
            <w:r w:rsidR="004B4A8B" w:rsidRPr="004B4A8B">
              <w:rPr>
                <w:rStyle w:val="a3"/>
                <w:rFonts w:ascii="Times New Roman" w:hAnsi="Times New Roman"/>
              </w:rPr>
              <w:t>Глава 4. Подготовка документации по планировке территорий органами местного самоуправления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_Toc49362039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15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15. Назначение и виды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_Toc49362040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15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16. Подготовка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_Toc49362041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15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2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17. Общие требования к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_Toc49362042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16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18. Порядок подготовки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_Toc49362043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16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44" w:history="1">
            <w:r w:rsidR="004B4A8B" w:rsidRPr="004B4A8B">
              <w:rPr>
                <w:rStyle w:val="a3"/>
                <w:rFonts w:ascii="Times New Roman" w:hAnsi="Times New Roman"/>
              </w:rPr>
              <w:t>Глава 5. Проведение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_Toc49362044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18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19. Общие положения об общественных обсуждениях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_Toc49362045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20. Организатор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_Toc49362046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_Toc49362047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22. Результаты общественных обсуждений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_Toc49362048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20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9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_Toc49362049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21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_Toc49362050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_Toc49362051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52" w:history="1">
            <w:r w:rsidR="004B4A8B" w:rsidRPr="004B4A8B">
              <w:rPr>
                <w:rStyle w:val="a3"/>
                <w:rFonts w:ascii="Times New Roman" w:hAnsi="Times New Roman"/>
              </w:rPr>
              <w:t>Глава 6. Внесение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_Toc49362052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23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26. Основания для внесения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_Toc49362053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23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27. Порядок внесения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_Toc49362054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24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7A7A0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_Toc49362055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25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D5578" w:rsidRPr="004B4A8B" w:rsidRDefault="007A7A05" w:rsidP="00ED7A46">
          <w:pPr>
            <w:jc w:val="both"/>
            <w:rPr>
              <w:rFonts w:ascii="Times New Roman" w:hAnsi="Times New Roman" w:cs="Times New Roman"/>
            </w:rPr>
          </w:pPr>
          <w:r w:rsidRPr="004B4A8B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D5578" w:rsidRPr="004B4A8B" w:rsidRDefault="007A7A05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="00ED5578"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7A7A05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49362021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49362022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" w:name="_Toc49362023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0C66FD">
        <w:rPr>
          <w:color w:val="auto"/>
        </w:rPr>
        <w:t>Акбашевс</w:t>
      </w:r>
      <w:r w:rsidR="007259B9">
        <w:rPr>
          <w:color w:val="auto"/>
        </w:rPr>
        <w:t xml:space="preserve">кого </w:t>
      </w:r>
      <w:r w:rsidRPr="004B4A8B">
        <w:rPr>
          <w:color w:val="auto"/>
        </w:rPr>
        <w:t xml:space="preserve">сельского поселения Аргаяшского 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Министерства экономического развития России от 1 сентября 2014 года № 540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49362024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</w:t>
      </w:r>
      <w:r w:rsidRPr="004B4A8B">
        <w:rPr>
          <w:color w:val="auto"/>
        </w:rPr>
        <w:lastRenderedPageBreak/>
        <w:t xml:space="preserve">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</w:t>
      </w:r>
      <w:r w:rsidRPr="004B4A8B">
        <w:rPr>
          <w:color w:val="auto"/>
        </w:rPr>
        <w:lastRenderedPageBreak/>
        <w:t xml:space="preserve">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</w:t>
      </w:r>
      <w:r w:rsidRPr="004B4A8B">
        <w:rPr>
          <w:color w:val="auto"/>
        </w:rPr>
        <w:lastRenderedPageBreak/>
        <w:t xml:space="preserve">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49362025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5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49362026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>. Виды зон с особыми условиями использования территории определены статьей 105 Земельного 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49362027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</w:t>
      </w:r>
      <w:r w:rsidRPr="004B4A8B">
        <w:rPr>
          <w:color w:val="auto"/>
        </w:rPr>
        <w:lastRenderedPageBreak/>
        <w:t xml:space="preserve">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222"/>
      <w:bookmarkEnd w:id="8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</w:t>
      </w:r>
      <w:r w:rsidR="008137B6" w:rsidRPr="004B4A8B">
        <w:rPr>
          <w:color w:val="auto"/>
        </w:rPr>
        <w:lastRenderedPageBreak/>
        <w:t xml:space="preserve">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9" w:name="_Toc49362028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устанавливаются указанные в пунктах 2 и 3 настоящей статьи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Наряду с указанными в подпунктах 2 – 5 пункта 2 настоящей статьи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подпунктами 2 – 5 пункта 2 настоящей статьи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 xml:space="preserve">В пределах территориальных зон могут устанавливаться </w:t>
      </w:r>
      <w:proofErr w:type="spellStart"/>
      <w:r w:rsidRPr="004B4A8B">
        <w:rPr>
          <w:color w:val="auto"/>
          <w:shd w:val="clear" w:color="auto" w:fill="FFFFFF"/>
        </w:rPr>
        <w:t>подзоны</w:t>
      </w:r>
      <w:proofErr w:type="spellEnd"/>
      <w:r w:rsidRPr="004B4A8B">
        <w:rPr>
          <w:color w:val="auto"/>
          <w:shd w:val="clear" w:color="auto" w:fill="FFFFFF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0" w:name="_Toc49362029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0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1" w:name="_Toc49362030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1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2" w:name="_Toc49362031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2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49362032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3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>Правила землепользования и застройки утверждаются представительным органом местного самоуправления Аргаяшского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>Физические и юридические лица вправе оспорить решение об утверждении правил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4" w:name="_Toc49362033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D126D2" w:rsidRPr="004B4A8B">
        <w:rPr>
          <w:b/>
          <w:bCs/>
          <w:color w:val="auto"/>
        </w:rPr>
        <w:t>Аргаяшского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D126D2" w:rsidRPr="004B4A8B">
        <w:rPr>
          <w:color w:val="auto"/>
        </w:rPr>
        <w:t xml:space="preserve">Аргаяшского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принятие решений о подготовке проекта правил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правил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правил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правил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49362034"/>
      <w:r w:rsidRPr="004B4A8B">
        <w:rPr>
          <w:b/>
          <w:bCs/>
          <w:color w:val="auto"/>
        </w:rPr>
        <w:t>Статья 11. Комиссия по подготовке проекта правил землепользования и застройки муниципального образования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Комиссия по подготовке проекта правил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 в целях подготовки проекта правил землепользования и застройки 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6" w:name="_Toc49362035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7" w:name="_Toc49362036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49362037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</w:t>
      </w:r>
      <w:r w:rsidR="00F51875" w:rsidRPr="004B4A8B">
        <w:rPr>
          <w:color w:val="auto"/>
          <w:shd w:val="clear" w:color="auto" w:fill="FFFFFF"/>
        </w:rPr>
        <w:lastRenderedPageBreak/>
        <w:t>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49362038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</w:t>
      </w:r>
      <w:r w:rsidR="00D57D85" w:rsidRPr="004B4A8B">
        <w:rPr>
          <w:color w:val="auto"/>
          <w:shd w:val="clear" w:color="auto" w:fill="FFFFFF"/>
        </w:rPr>
        <w:lastRenderedPageBreak/>
        <w:t>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0" w:name="_Toc49362039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0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1" w:name="_Toc49362040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49362041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49362042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49362043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B5601F" w:rsidRPr="004B4A8B">
        <w:rPr>
          <w:color w:val="auto"/>
        </w:rPr>
        <w:t xml:space="preserve">Аргаяшского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5" w:name="_Toc49362044"/>
      <w:r w:rsidRPr="004B4A8B">
        <w:rPr>
          <w:b/>
          <w:bCs/>
          <w:color w:val="auto"/>
          <w:sz w:val="28"/>
          <w:szCs w:val="28"/>
        </w:rPr>
        <w:t>Глава 5. Проведение общественных обсуждений по вопросам землепользования и застройки</w:t>
      </w:r>
      <w:bookmarkEnd w:id="25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6" w:name="_Toc49362045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49362046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AF74C2" w:rsidRPr="004B4A8B">
        <w:rPr>
          <w:color w:val="auto"/>
        </w:rPr>
        <w:t>Аргаяшского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49362047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</w:t>
      </w:r>
      <w:r w:rsidRPr="004B4A8B">
        <w:rPr>
          <w:color w:val="auto"/>
        </w:rPr>
        <w:lastRenderedPageBreak/>
        <w:t xml:space="preserve">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49362048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49362049"/>
      <w:r w:rsidRPr="004B4A8B">
        <w:rPr>
          <w:b/>
          <w:bCs/>
          <w:color w:val="auto"/>
        </w:rPr>
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правил землепользования и застройки и по проекту, предусматривающему внесение изменений в Правила </w:t>
      </w:r>
      <w:r w:rsidRPr="004B4A8B">
        <w:rPr>
          <w:color w:val="auto"/>
        </w:rPr>
        <w:lastRenderedPageBreak/>
        <w:t xml:space="preserve">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правил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49362050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49362051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3" w:name="_Toc49362052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3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4" w:name="_Toc49362053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49362054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</w:t>
      </w:r>
      <w:r w:rsidRPr="004B4A8B">
        <w:rPr>
          <w:color w:val="auto"/>
        </w:rPr>
        <w:lastRenderedPageBreak/>
        <w:t xml:space="preserve">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AD3EDD" w:rsidRPr="004B4A8B">
        <w:rPr>
          <w:color w:val="auto"/>
          <w:shd w:val="clear" w:color="auto" w:fill="FFFFFF"/>
        </w:rPr>
        <w:t>осуществляет проверку проекта правил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Аргаяшского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Аргаяшского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49362055"/>
      <w:r w:rsidRPr="004B4A8B">
        <w:rPr>
          <w:b/>
          <w:bCs/>
          <w:color w:val="auto"/>
        </w:rPr>
        <w:lastRenderedPageBreak/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ED7A46">
      <w:pPr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7EA" w:rsidRDefault="009347EA" w:rsidP="005561E5">
      <w:pPr>
        <w:spacing w:after="0" w:line="240" w:lineRule="auto"/>
      </w:pPr>
      <w:r>
        <w:separator/>
      </w:r>
    </w:p>
  </w:endnote>
  <w:endnote w:type="continuationSeparator" w:id="0">
    <w:p w:rsidR="009347EA" w:rsidRDefault="009347EA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31911"/>
      <w:docPartObj>
        <w:docPartGallery w:val="Page Numbers (Bottom of Page)"/>
        <w:docPartUnique/>
      </w:docPartObj>
    </w:sdtPr>
    <w:sdtContent>
      <w:p w:rsidR="00ED7A46" w:rsidRDefault="007A7A05">
        <w:pPr>
          <w:pStyle w:val="a9"/>
          <w:jc w:val="center"/>
        </w:pPr>
        <w:r>
          <w:fldChar w:fldCharType="begin"/>
        </w:r>
        <w:r w:rsidR="00ED7A46">
          <w:instrText>PAGE   \* MERGEFORMAT</w:instrText>
        </w:r>
        <w:r>
          <w:fldChar w:fldCharType="separate"/>
        </w:r>
        <w:r w:rsidR="00134E79">
          <w:rPr>
            <w:noProof/>
          </w:rPr>
          <w:t>3</w:t>
        </w:r>
        <w:r>
          <w:fldChar w:fldCharType="end"/>
        </w:r>
      </w:p>
    </w:sdtContent>
  </w:sdt>
  <w:p w:rsidR="00ED7A46" w:rsidRDefault="00ED7A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7EA" w:rsidRDefault="009347EA" w:rsidP="005561E5">
      <w:pPr>
        <w:spacing w:after="0" w:line="240" w:lineRule="auto"/>
      </w:pPr>
      <w:r>
        <w:separator/>
      </w:r>
    </w:p>
  </w:footnote>
  <w:footnote w:type="continuationSeparator" w:id="0">
    <w:p w:rsidR="009347EA" w:rsidRDefault="009347EA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3C4"/>
    <w:rsid w:val="0006325B"/>
    <w:rsid w:val="0008402A"/>
    <w:rsid w:val="000C03F2"/>
    <w:rsid w:val="000C66FD"/>
    <w:rsid w:val="000D4E3E"/>
    <w:rsid w:val="00131AA8"/>
    <w:rsid w:val="00134E79"/>
    <w:rsid w:val="001928DD"/>
    <w:rsid w:val="001C2938"/>
    <w:rsid w:val="002A5B8A"/>
    <w:rsid w:val="00323070"/>
    <w:rsid w:val="00366DD5"/>
    <w:rsid w:val="00372036"/>
    <w:rsid w:val="003D7F74"/>
    <w:rsid w:val="003F5E00"/>
    <w:rsid w:val="00483DAD"/>
    <w:rsid w:val="004872D7"/>
    <w:rsid w:val="004B4A8B"/>
    <w:rsid w:val="005354A2"/>
    <w:rsid w:val="005561E5"/>
    <w:rsid w:val="00571799"/>
    <w:rsid w:val="0057768B"/>
    <w:rsid w:val="005D423D"/>
    <w:rsid w:val="0061717D"/>
    <w:rsid w:val="00635674"/>
    <w:rsid w:val="006E2557"/>
    <w:rsid w:val="007259B9"/>
    <w:rsid w:val="0073723C"/>
    <w:rsid w:val="00782A3C"/>
    <w:rsid w:val="007A7A05"/>
    <w:rsid w:val="007D7352"/>
    <w:rsid w:val="008137B6"/>
    <w:rsid w:val="0082644B"/>
    <w:rsid w:val="008B23C4"/>
    <w:rsid w:val="00925D5B"/>
    <w:rsid w:val="009347EA"/>
    <w:rsid w:val="00984824"/>
    <w:rsid w:val="009901EB"/>
    <w:rsid w:val="009F40DA"/>
    <w:rsid w:val="00A0056D"/>
    <w:rsid w:val="00A21791"/>
    <w:rsid w:val="00A91437"/>
    <w:rsid w:val="00AD3EDD"/>
    <w:rsid w:val="00AF74C2"/>
    <w:rsid w:val="00B11760"/>
    <w:rsid w:val="00B25B70"/>
    <w:rsid w:val="00B42F05"/>
    <w:rsid w:val="00B5601F"/>
    <w:rsid w:val="00BC768E"/>
    <w:rsid w:val="00BD3465"/>
    <w:rsid w:val="00CD7001"/>
    <w:rsid w:val="00D126D2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8B"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2FB6-2395-4D6A-885C-E43D7794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26</Pages>
  <Words>12351</Words>
  <Characters>70407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Toshiba</cp:lastModifiedBy>
  <cp:revision>17</cp:revision>
  <dcterms:created xsi:type="dcterms:W3CDTF">2019-01-06T15:17:00Z</dcterms:created>
  <dcterms:modified xsi:type="dcterms:W3CDTF">2024-12-03T19:28:00Z</dcterms:modified>
</cp:coreProperties>
</file>