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8C" w:rsidRPr="009559D0" w:rsidRDefault="00AB028C" w:rsidP="00AB028C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9559D0">
        <w:rPr>
          <w:noProof/>
        </w:rPr>
        <w:drawing>
          <wp:inline distT="0" distB="0" distL="0" distR="0">
            <wp:extent cx="685887" cy="847725"/>
            <wp:effectExtent l="19050" t="0" r="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8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28C" w:rsidRPr="009559D0" w:rsidRDefault="00AB028C" w:rsidP="00AB028C">
      <w:pPr>
        <w:pStyle w:val="a5"/>
        <w:ind w:firstLine="540"/>
        <w:rPr>
          <w:b/>
          <w:sz w:val="24"/>
          <w:szCs w:val="24"/>
        </w:rPr>
      </w:pPr>
      <w:r w:rsidRPr="009559D0">
        <w:rPr>
          <w:b/>
          <w:sz w:val="24"/>
          <w:szCs w:val="24"/>
        </w:rPr>
        <w:t xml:space="preserve">  </w:t>
      </w:r>
    </w:p>
    <w:p w:rsidR="00AB028C" w:rsidRPr="007B5610" w:rsidRDefault="00AB028C" w:rsidP="00AB028C">
      <w:pPr>
        <w:pStyle w:val="a5"/>
        <w:rPr>
          <w:b/>
          <w:sz w:val="28"/>
          <w:szCs w:val="28"/>
        </w:rPr>
      </w:pPr>
      <w:r w:rsidRPr="007B5610">
        <w:rPr>
          <w:b/>
          <w:sz w:val="28"/>
          <w:szCs w:val="28"/>
        </w:rPr>
        <w:t>ЧЕЛЯБИНСКАЯ ОБЛАСТЬ</w:t>
      </w:r>
    </w:p>
    <w:p w:rsidR="00AB028C" w:rsidRPr="007B5610" w:rsidRDefault="00AB028C" w:rsidP="00AB028C">
      <w:pPr>
        <w:ind w:firstLine="540"/>
        <w:rPr>
          <w:b/>
          <w:sz w:val="28"/>
          <w:szCs w:val="28"/>
        </w:rPr>
      </w:pPr>
    </w:p>
    <w:p w:rsidR="00AB028C" w:rsidRPr="007B5610" w:rsidRDefault="00AB028C" w:rsidP="00AB028C">
      <w:pPr>
        <w:pStyle w:val="4"/>
        <w:rPr>
          <w:sz w:val="28"/>
          <w:szCs w:val="28"/>
        </w:rPr>
      </w:pPr>
      <w:r w:rsidRPr="007B5610">
        <w:rPr>
          <w:sz w:val="28"/>
          <w:szCs w:val="28"/>
        </w:rPr>
        <w:t>СОБРАНИЕ ДЕПУТАТОВ</w:t>
      </w:r>
    </w:p>
    <w:p w:rsidR="00AB028C" w:rsidRPr="007B5610" w:rsidRDefault="00AB028C" w:rsidP="00AB028C">
      <w:pPr>
        <w:pStyle w:val="4"/>
        <w:rPr>
          <w:sz w:val="28"/>
          <w:szCs w:val="28"/>
        </w:rPr>
      </w:pPr>
      <w:r w:rsidRPr="007B5610">
        <w:rPr>
          <w:sz w:val="28"/>
          <w:szCs w:val="28"/>
        </w:rPr>
        <w:t>АРГАЯШСКОГО МУНИЦИПАЛЬНОГО РАЙОНА</w:t>
      </w:r>
    </w:p>
    <w:p w:rsidR="00AB028C" w:rsidRPr="007B5610" w:rsidRDefault="00AB028C" w:rsidP="00AB028C">
      <w:pPr>
        <w:pStyle w:val="3"/>
        <w:rPr>
          <w:b/>
          <w:sz w:val="28"/>
          <w:szCs w:val="28"/>
        </w:rPr>
      </w:pPr>
      <w:r w:rsidRPr="007B5610">
        <w:rPr>
          <w:b/>
          <w:sz w:val="28"/>
          <w:szCs w:val="28"/>
        </w:rPr>
        <w:t>РЕШЕНИЕ</w:t>
      </w:r>
    </w:p>
    <w:p w:rsidR="00AB028C" w:rsidRPr="009559D0" w:rsidRDefault="00363E41" w:rsidP="00AB028C">
      <w:pPr>
        <w:ind w:firstLine="540"/>
        <w:rPr>
          <w:b/>
        </w:rPr>
      </w:pPr>
      <w:r w:rsidRPr="00363E41"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B028C" w:rsidRPr="009559D0" w:rsidTr="00AB028C">
        <w:tc>
          <w:tcPr>
            <w:tcW w:w="4962" w:type="dxa"/>
            <w:shd w:val="clear" w:color="auto" w:fill="auto"/>
          </w:tcPr>
          <w:p w:rsidR="00AB028C" w:rsidRDefault="00AB028C" w:rsidP="00AB028C">
            <w:pPr>
              <w:tabs>
                <w:tab w:val="left" w:pos="836"/>
              </w:tabs>
              <w:rPr>
                <w:sz w:val="28"/>
                <w:szCs w:val="28"/>
              </w:rPr>
            </w:pPr>
          </w:p>
          <w:p w:rsidR="00AB028C" w:rsidRPr="007B5610" w:rsidRDefault="00AB028C" w:rsidP="00AB028C">
            <w:pPr>
              <w:tabs>
                <w:tab w:val="left" w:pos="836"/>
              </w:tabs>
              <w:rPr>
                <w:sz w:val="28"/>
                <w:szCs w:val="28"/>
              </w:rPr>
            </w:pPr>
            <w:r w:rsidRPr="007B5610">
              <w:rPr>
                <w:sz w:val="28"/>
                <w:szCs w:val="28"/>
              </w:rPr>
              <w:t xml:space="preserve">« 28 » октября  2020 г.        №  </w:t>
            </w:r>
            <w:r w:rsidR="00BF4AC3">
              <w:rPr>
                <w:sz w:val="28"/>
                <w:szCs w:val="28"/>
              </w:rPr>
              <w:t>12</w:t>
            </w:r>
          </w:p>
        </w:tc>
      </w:tr>
    </w:tbl>
    <w:p w:rsidR="00AB028C" w:rsidRPr="007B5610" w:rsidRDefault="00AB028C" w:rsidP="00AB028C">
      <w:pPr>
        <w:spacing w:line="276" w:lineRule="auto"/>
        <w:rPr>
          <w:sz w:val="28"/>
          <w:szCs w:val="28"/>
        </w:rPr>
      </w:pPr>
    </w:p>
    <w:p w:rsidR="0053375C" w:rsidRDefault="0095491D" w:rsidP="009549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D2C87">
        <w:rPr>
          <w:rFonts w:ascii="Times New Roman" w:hAnsi="Times New Roman" w:cs="Times New Roman"/>
          <w:b w:val="0"/>
          <w:sz w:val="28"/>
          <w:szCs w:val="28"/>
        </w:rPr>
        <w:t>О</w:t>
      </w:r>
      <w:r w:rsidR="0053375C">
        <w:rPr>
          <w:rFonts w:ascii="Times New Roman" w:hAnsi="Times New Roman" w:cs="Times New Roman"/>
          <w:b w:val="0"/>
          <w:sz w:val="28"/>
          <w:szCs w:val="28"/>
        </w:rPr>
        <w:t>б утверждении Положения</w:t>
      </w:r>
    </w:p>
    <w:p w:rsidR="0095491D" w:rsidRPr="00ED2C87" w:rsidRDefault="0053375C" w:rsidP="009549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95491D" w:rsidRPr="00ED2C87">
        <w:rPr>
          <w:rFonts w:ascii="Times New Roman" w:hAnsi="Times New Roman" w:cs="Times New Roman"/>
          <w:b w:val="0"/>
          <w:sz w:val="28"/>
          <w:szCs w:val="28"/>
        </w:rPr>
        <w:t xml:space="preserve"> межбюджетных отношениях </w:t>
      </w:r>
      <w:proofErr w:type="gramStart"/>
      <w:r w:rsidR="0095491D" w:rsidRPr="00ED2C87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95491D" w:rsidRPr="00ED2C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491D" w:rsidRPr="00ED2C87" w:rsidRDefault="0095491D" w:rsidP="009549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D2C87">
        <w:rPr>
          <w:rFonts w:ascii="Times New Roman" w:hAnsi="Times New Roman" w:cs="Times New Roman"/>
          <w:b w:val="0"/>
          <w:sz w:val="28"/>
          <w:szCs w:val="28"/>
        </w:rPr>
        <w:t>Аргаяшском</w:t>
      </w:r>
      <w:proofErr w:type="spellEnd"/>
      <w:r w:rsidRPr="00ED2C8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</w:t>
      </w:r>
      <w:r w:rsidR="0053375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5491D" w:rsidRPr="00DD4EA7" w:rsidRDefault="0095491D" w:rsidP="009549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028C" w:rsidRDefault="00AB028C" w:rsidP="00AB028C">
      <w:pPr>
        <w:spacing w:line="276" w:lineRule="auto"/>
        <w:rPr>
          <w:sz w:val="28"/>
          <w:szCs w:val="28"/>
        </w:rPr>
      </w:pPr>
      <w:r w:rsidRPr="007B5610">
        <w:rPr>
          <w:sz w:val="28"/>
          <w:szCs w:val="28"/>
        </w:rPr>
        <w:t xml:space="preserve">           </w:t>
      </w:r>
    </w:p>
    <w:p w:rsidR="00AB028C" w:rsidRPr="007B5610" w:rsidRDefault="00AB028C" w:rsidP="00AB028C">
      <w:pPr>
        <w:tabs>
          <w:tab w:val="left" w:pos="70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5610">
        <w:rPr>
          <w:sz w:val="28"/>
          <w:szCs w:val="28"/>
        </w:rPr>
        <w:t xml:space="preserve"> Собрание депутатов Аргаяшского муниципального района РЕШАЕТ: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A7">
        <w:rPr>
          <w:rFonts w:ascii="Times New Roman" w:hAnsi="Times New Roman" w:cs="Times New Roman"/>
          <w:sz w:val="28"/>
          <w:szCs w:val="28"/>
        </w:rPr>
        <w:t xml:space="preserve">1. Утвердить Положение о межбюджетных отношениях в </w:t>
      </w:r>
      <w:proofErr w:type="spellStart"/>
      <w:r w:rsidRPr="00DD4EA7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Pr="00DD4EA7">
        <w:rPr>
          <w:rFonts w:ascii="Times New Roman" w:hAnsi="Times New Roman" w:cs="Times New Roman"/>
          <w:sz w:val="28"/>
          <w:szCs w:val="28"/>
        </w:rPr>
        <w:t xml:space="preserve"> муниципальном районе (приложение).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A7">
        <w:rPr>
          <w:rFonts w:ascii="Times New Roman" w:hAnsi="Times New Roman" w:cs="Times New Roman"/>
          <w:sz w:val="28"/>
          <w:szCs w:val="28"/>
        </w:rPr>
        <w:t>2. Установить, что настоящее решение вступает в силу с момента подписания.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28C" w:rsidRDefault="00AB028C" w:rsidP="00AB02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491D" w:rsidRPr="00DD4EA7">
        <w:rPr>
          <w:rFonts w:ascii="Times New Roman" w:hAnsi="Times New Roman" w:cs="Times New Roman"/>
          <w:sz w:val="28"/>
          <w:szCs w:val="28"/>
        </w:rPr>
        <w:t xml:space="preserve">3. Со дня вступления в силу настоящего решения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решения</w:t>
      </w:r>
      <w:r w:rsidR="0095491D" w:rsidRPr="00DD4EA7">
        <w:rPr>
          <w:rFonts w:ascii="Times New Roman" w:hAnsi="Times New Roman" w:cs="Times New Roman"/>
          <w:sz w:val="28"/>
          <w:szCs w:val="28"/>
        </w:rPr>
        <w:t xml:space="preserve"> Собрания депутатов Аргаяшско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района:</w:t>
      </w:r>
    </w:p>
    <w:p w:rsidR="0095491D" w:rsidRDefault="00AB028C" w:rsidP="00AB02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«</w:t>
      </w:r>
      <w:r w:rsidR="0095491D" w:rsidRPr="00DD4EA7">
        <w:rPr>
          <w:rFonts w:ascii="Times New Roman" w:hAnsi="Times New Roman" w:cs="Times New Roman"/>
          <w:sz w:val="28"/>
          <w:szCs w:val="28"/>
        </w:rPr>
        <w:t xml:space="preserve">О межбюджетных отношениях в </w:t>
      </w:r>
      <w:proofErr w:type="spellStart"/>
      <w:r w:rsidR="0095491D" w:rsidRPr="00DD4E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 от  22 </w:t>
      </w:r>
      <w:r w:rsidRPr="00DD4EA7">
        <w:rPr>
          <w:rFonts w:ascii="Times New Roman" w:hAnsi="Times New Roman" w:cs="Times New Roman"/>
          <w:sz w:val="28"/>
          <w:szCs w:val="28"/>
        </w:rPr>
        <w:t>октября 2008 г. N 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28C" w:rsidRDefault="00AB028C" w:rsidP="00AB028C">
      <w:pPr>
        <w:rPr>
          <w:sz w:val="28"/>
          <w:szCs w:val="28"/>
        </w:rPr>
      </w:pPr>
      <w:r>
        <w:rPr>
          <w:sz w:val="28"/>
          <w:szCs w:val="28"/>
        </w:rPr>
        <w:t xml:space="preserve">       - «</w:t>
      </w:r>
      <w:r w:rsidRPr="00AB028C">
        <w:rPr>
          <w:sz w:val="28"/>
          <w:szCs w:val="28"/>
        </w:rPr>
        <w:t>О внесении изменений в решение Собрания</w:t>
      </w:r>
      <w:r>
        <w:rPr>
          <w:sz w:val="28"/>
          <w:szCs w:val="28"/>
        </w:rPr>
        <w:t xml:space="preserve"> </w:t>
      </w:r>
      <w:r w:rsidRPr="00AB028C">
        <w:rPr>
          <w:sz w:val="28"/>
          <w:szCs w:val="28"/>
        </w:rPr>
        <w:t xml:space="preserve">депутатов Аргаяшского муниципального района от 22 октября 2008 года № 98«О межбюджетных отношениях в </w:t>
      </w:r>
      <w:proofErr w:type="spellStart"/>
      <w:r w:rsidRPr="00AB028C">
        <w:rPr>
          <w:sz w:val="28"/>
          <w:szCs w:val="28"/>
        </w:rPr>
        <w:t>Аргаяшском</w:t>
      </w:r>
      <w:proofErr w:type="spellEnd"/>
      <w:r w:rsidRPr="00AB028C">
        <w:rPr>
          <w:sz w:val="28"/>
          <w:szCs w:val="28"/>
        </w:rPr>
        <w:t xml:space="preserve"> муниципальном районе»  </w:t>
      </w:r>
      <w:r>
        <w:rPr>
          <w:sz w:val="28"/>
          <w:szCs w:val="28"/>
        </w:rPr>
        <w:t>от 27.01.2010 №3;</w:t>
      </w:r>
    </w:p>
    <w:p w:rsidR="00AB028C" w:rsidRDefault="00AB028C" w:rsidP="00AB028C">
      <w:pPr>
        <w:rPr>
          <w:sz w:val="28"/>
          <w:szCs w:val="28"/>
        </w:rPr>
      </w:pPr>
      <w:r>
        <w:rPr>
          <w:sz w:val="28"/>
          <w:szCs w:val="28"/>
        </w:rPr>
        <w:t xml:space="preserve">        - «О внесении изменений в Положение о</w:t>
      </w:r>
      <w:r w:rsidRPr="00591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межбюджетных отношениях  </w:t>
      </w:r>
    </w:p>
    <w:p w:rsidR="00AB028C" w:rsidRPr="0059140E" w:rsidRDefault="00AB028C" w:rsidP="00AB028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59140E">
        <w:rPr>
          <w:sz w:val="28"/>
          <w:szCs w:val="28"/>
        </w:rPr>
        <w:t xml:space="preserve"> </w:t>
      </w:r>
      <w:proofErr w:type="spellStart"/>
      <w:r w:rsidRPr="0059140E">
        <w:rPr>
          <w:sz w:val="28"/>
          <w:szCs w:val="28"/>
        </w:rPr>
        <w:t>Аргаяшско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муниципальном районе, утвержденный решением </w:t>
      </w:r>
      <w:r w:rsidRPr="0059140E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>депутатов Аргаяшского муниципального района от 22.10.2008 г. № 98» от 29.01.2014 г.№2.</w:t>
      </w:r>
    </w:p>
    <w:p w:rsidR="00AB028C" w:rsidRPr="00AB028C" w:rsidRDefault="00AB028C" w:rsidP="00AB028C">
      <w:pPr>
        <w:rPr>
          <w:sz w:val="28"/>
          <w:szCs w:val="28"/>
        </w:rPr>
      </w:pPr>
    </w:p>
    <w:p w:rsidR="005820BD" w:rsidRPr="00275795" w:rsidRDefault="005820BD" w:rsidP="005820BD">
      <w:pPr>
        <w:rPr>
          <w:color w:val="000000"/>
          <w:sz w:val="28"/>
          <w:szCs w:val="28"/>
        </w:rPr>
      </w:pPr>
      <w:r w:rsidRPr="00275795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5820BD" w:rsidRPr="00275795" w:rsidRDefault="005820BD" w:rsidP="005820BD">
      <w:pPr>
        <w:rPr>
          <w:color w:val="000000"/>
          <w:sz w:val="28"/>
          <w:szCs w:val="28"/>
        </w:rPr>
      </w:pPr>
      <w:r w:rsidRPr="00275795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5820BD" w:rsidRPr="00275795" w:rsidRDefault="005820BD" w:rsidP="005820BD">
      <w:pPr>
        <w:rPr>
          <w:color w:val="000000"/>
          <w:sz w:val="28"/>
          <w:szCs w:val="28"/>
        </w:rPr>
      </w:pPr>
    </w:p>
    <w:p w:rsidR="005820BD" w:rsidRPr="00275795" w:rsidRDefault="005820BD" w:rsidP="005820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79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  <w:r w:rsidRPr="00275795">
        <w:rPr>
          <w:color w:val="000000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Л.Ф.Юсупова</w:t>
      </w:r>
    </w:p>
    <w:p w:rsidR="005820BD" w:rsidRPr="00275795" w:rsidRDefault="005820BD" w:rsidP="005820BD">
      <w:pPr>
        <w:rPr>
          <w:color w:val="000000"/>
          <w:sz w:val="28"/>
          <w:szCs w:val="28"/>
        </w:rPr>
      </w:pPr>
    </w:p>
    <w:p w:rsidR="005820BD" w:rsidRDefault="005820BD" w:rsidP="00AB02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0BD" w:rsidRDefault="005820BD" w:rsidP="00AB02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20BD" w:rsidRDefault="005820BD" w:rsidP="00AB02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F80F12">
      <w:pPr>
        <w:pStyle w:val="ConsPlusNormal"/>
        <w:widowControl/>
        <w:tabs>
          <w:tab w:val="left" w:pos="709"/>
        </w:tabs>
        <w:ind w:firstLine="0"/>
        <w:jc w:val="right"/>
        <w:outlineLvl w:val="0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Приложение</w:t>
      </w:r>
    </w:p>
    <w:p w:rsidR="0095491D" w:rsidRPr="00E7350E" w:rsidRDefault="0095491D" w:rsidP="005820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Собрания депутатов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0BD">
        <w:rPr>
          <w:rFonts w:ascii="Times New Roman" w:hAnsi="Times New Roman" w:cs="Times New Roman"/>
        </w:rPr>
        <w:t xml:space="preserve">                               </w:t>
      </w:r>
      <w:r w:rsidRPr="00E7350E">
        <w:rPr>
          <w:rFonts w:ascii="Times New Roman" w:hAnsi="Times New Roman" w:cs="Times New Roman"/>
        </w:rPr>
        <w:t>Аргаяшского</w:t>
      </w:r>
      <w:r w:rsidR="00BF4AC3"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муниципального района</w:t>
      </w:r>
    </w:p>
    <w:p w:rsidR="0095491D" w:rsidRPr="00E7350E" w:rsidRDefault="00BF4AC3" w:rsidP="005820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28.10. 2020 г. N 12</w:t>
      </w: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 xml:space="preserve">о межбюджетных отношениях в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95491D" w:rsidRPr="00DD4EA7" w:rsidRDefault="0095491D" w:rsidP="009549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Настоящее Положение регулирует межбюджетные отношения между органами муниципальной власти Аргаяшского муниципального района и органами местного самоуправления сельских поселений Аргаяшского муниципального района.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Глава I. ОБЩИЕ ПОЛОЖЕНИЯ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1. Правовая основа межбюджетных отношений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Правовую основу межбюджетных отношений в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муниципальном районе составляют Конституция Российской Федерации, Бюджетный кодекс Российской Федерации, федеральные законы, иные нормативные правовые акты Российской Федерации, Закон Челябинской области "О межбюджетных отношениях в Челябинской области", иные законы и нормативные правовые акты Челябинской области, регулирующие межбюджетные отношения, и нормативные правовые акты Аргаяшского муниципального района, регулирующие межбюджетные отношения.</w:t>
      </w:r>
      <w:proofErr w:type="gramEnd"/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Решения и иные нормативные правовые акты Аргаяшского муниципального района, регулирующие межбюджетные отношения, должны соответствовать законодательству Российской Федерации, Челябинской области и настоящему Положению. В случае противоречия настоящему Положению иного решения или нормативного правового акта Аргаяшского муниципального района, регулирующего межбюджетные отношения, применяется настоящее Положение.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3. Во исполнение настоящего Положения, других решений Аргаяшского муниципального района, регулирующих бюджетные правоотношения, органы местного самоуправления Аргаяшского муниципального района и органы местного самоуправления сельских поселений (далее - органы местного самоуправления) принимают правовые акты по вопросам межбюджетных отношений, отнесенным к их компетенции.</w:t>
      </w:r>
    </w:p>
    <w:p w:rsidR="0095491D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2. Понятия и термины, применяемые в настоящем Положении</w:t>
      </w:r>
    </w:p>
    <w:p w:rsidR="0095491D" w:rsidRDefault="0095491D" w:rsidP="0095491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 xml:space="preserve">Статья 3. Участники межбюджетных отношений в </w:t>
      </w:r>
      <w:proofErr w:type="spellStart"/>
      <w:r w:rsidRPr="00E7350E">
        <w:rPr>
          <w:rFonts w:ascii="Times New Roman" w:hAnsi="Times New Roman" w:cs="Times New Roman"/>
          <w:b/>
          <w:sz w:val="22"/>
          <w:szCs w:val="22"/>
        </w:rPr>
        <w:t>Аргаяшском</w:t>
      </w:r>
      <w:proofErr w:type="spellEnd"/>
      <w:r w:rsidRPr="00E7350E"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От имени  Аргаяшского муниципального района и сельских поселений Аргаяшского муниципального района в межбюджетных отношениях выступают: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органы местного самоуправления Аргаяшского муниципального района (далее - органы местного самоуправления района);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органы местного самоуправления сельских поселений Аргаяшского муниципального района (далее - органы местного самоуправления поселений).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4. Консолидация бюджетной отчетности и консолидация прогнозов социально-экономического развития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муниципальных районов обеспечивают консолидацию утвержденных местных бюджетов, отчетов об исполнении местных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бюджетов и иной бюджетной отчетности, а также прогнозов социально-экономического развития муниципального района и сельских поселений, входящих в их состав, для представления в органы исполнительной власти Челябинской области в соответствии с бюджетным законодательством Российской Федерации и Челябинской области.</w:t>
      </w:r>
      <w:proofErr w:type="gramEnd"/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5. Нормативы отчислений от федеральных и региональных налогов и сборов в бюджеты сельских поселений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>Установить нормативы отчислений в бюджеты сельских поселений от следующих федеральных и региональных налогов, налогов, предусмотренных специальными налоговыми режимами, подлежащих зачислению в соответствии с Бюджетным кодексом Российской Федерации и законодательством о налогах и сборах в районной бюджет:</w:t>
      </w:r>
      <w:proofErr w:type="gramEnd"/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        единого сельскохозяйственного налога - 100 процентов.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        единого сельскохозяйственного налога (за налоговые периоды, истекающие до 1 января 2011 года) - 100 процентов.</w:t>
      </w:r>
    </w:p>
    <w:p w:rsidR="0095491D" w:rsidRPr="00E7350E" w:rsidRDefault="0095491D" w:rsidP="009549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350E">
        <w:rPr>
          <w:rFonts w:ascii="Times New Roman" w:hAnsi="Times New Roman" w:cs="Times New Roman"/>
          <w:b/>
          <w:sz w:val="24"/>
          <w:szCs w:val="24"/>
        </w:rPr>
        <w:t>Глава II. МЕЖБЮДЖЕТНЫЕ ТРАНСФЕРТЫ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6. Формы межбюджетных трансфертов, предоставляемых из районного бюджета бюджетам сельских поселений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Межбюджетные трансферты из районного бюджета бюджетам поселений предоставляются в форме: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- дотаций на выравнивание бюджетной обеспеченности поселений в соответствии со </w:t>
      </w:r>
      <w:hyperlink r:id="rId5" w:history="1">
        <w:r w:rsidRPr="00E7350E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r w:rsidRPr="00E7350E">
        <w:rPr>
          <w:rFonts w:ascii="Times New Roman" w:hAnsi="Times New Roman" w:cs="Times New Roman"/>
          <w:sz w:val="24"/>
          <w:szCs w:val="24"/>
        </w:rPr>
        <w:t>7 настоящего Положения;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- субсидий бюджетам поселений в целях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в соответствии со </w:t>
      </w:r>
      <w:hyperlink r:id="rId6" w:history="1">
        <w:r w:rsidRPr="00E7350E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- субсидии бюджетам муниципальных образований в соответствии со </w:t>
      </w:r>
      <w:hyperlink r:id="rId7" w:history="1">
        <w:r w:rsidRPr="00E7350E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- субвенций бюджетам поселений в соответствии со </w:t>
      </w:r>
      <w:hyperlink r:id="rId8" w:history="1">
        <w:r w:rsidRPr="00E7350E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r w:rsidRPr="00E7350E">
        <w:rPr>
          <w:rFonts w:ascii="Times New Roman" w:hAnsi="Times New Roman" w:cs="Times New Roman"/>
          <w:sz w:val="24"/>
          <w:szCs w:val="24"/>
        </w:rPr>
        <w:t>10 настоящего Положения;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- иных межбюджетных трансфертов в соответствии со </w:t>
      </w:r>
      <w:hyperlink r:id="rId9" w:history="1">
        <w:r w:rsidRPr="00E7350E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E7350E">
        <w:rPr>
          <w:rFonts w:ascii="Times New Roman" w:hAnsi="Times New Roman" w:cs="Times New Roman"/>
          <w:sz w:val="24"/>
          <w:szCs w:val="24"/>
        </w:rPr>
        <w:t>1 настоящего Положения.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Межбюджетные трансферты из районного бюджета бюджетам поселений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соблюдении органами местного самоуправления поселений условий, установленных правилами предоставления межбюджетных трансфертов из бюджетов муниципальных районов бюджетам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>Межбюджетные трансферты (за исключением субвенций) из районного бюджета бюджетам поселений, которые предоставляются за счет областного бюджета, в том числе субвенций, предоставляемых районному бюджету на осуществление полномочий органов государственной власти субъектов Российской Федерации по расчету и предоставлению дотаций бюджетам сельских поселений,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бюджетам,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7350E">
          <w:rPr>
            <w:rFonts w:ascii="Times New Roman" w:hAnsi="Times New Roman" w:cs="Times New Roman"/>
            <w:sz w:val="24"/>
            <w:szCs w:val="24"/>
          </w:rPr>
          <w:t>статьей 136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lastRenderedPageBreak/>
        <w:t>Цели, порядок и условия предоставления межбюджетных трансфертов из районного бюджета, источником финансового обеспечения которых являются субсидии, субвенции и иные межбюджетные трансферты, имеющие целевое назначение, из областного бюджета, устанавливаются решением Собрания депутатов Аргаяшского муниципального района, принятыми в соответствии с законами и (или) иными нормативными правовыми актами Челябинской области.</w:t>
      </w:r>
    </w:p>
    <w:p w:rsidR="0095491D" w:rsidRPr="00E7350E" w:rsidRDefault="0095491D" w:rsidP="0095491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7. Дотации на выравнивание бюджетной обеспеченности поселений</w:t>
      </w:r>
    </w:p>
    <w:p w:rsidR="0095491D" w:rsidRPr="007230BB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Поселениям, входящим в состав муниципального района, предоставляются дотации на выравнивание бюджетной обеспеченности из бюджета Аргаяшского муниципального района.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Дотации на выравнивание бюджетной обеспеченности поселений предусматриваются в районном бюджете в целях осуществления органами местного самоуправления Аргаяшского муниципального района переданных им государственных полномочий по расчету и предоставлению дотаций поселениям, а также для дополнительного по отношению к указанным дотациям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значения.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3. Выравнивание бюджетной обеспеченности поселений является расходным обязательством Аргаяшского муниципального района.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4. Общий объем дотаций на выравнивание бюджетной обеспеченности поселений из бюджета муниципального района на очередной финансовый год, первый и второй годы планового периода формируется за счет субвенций из областного бюджета и собственных доходов бюджета Аргаяшского муниципального района.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5. Объем и распределение дотаций на выравнивание бюджетной обеспеченности поселений из бюджета Аргаяшского муниципального района утверждается решением о районном бюджете на очередной финансовый год и на плановый период.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Распределение дотаций на выравнивание бюджетной обеспеченности поселений за счет субвенций, полученных бюджетом муниципального района для осуществления государственных полномочий по расчету и предоставлению дотаций бюджетам поселений за счет средств областного бюджета, осуществляется исходя из уровня их бюджетной обеспеченности в соответствии с методикой, предусмотренной </w:t>
      </w:r>
      <w:hyperlink r:id="rId11" w:history="1">
        <w:r w:rsidRPr="00E735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Челябинской области "О межбюджетных отношениях в Челябинской области" в порядке, представленном в </w:t>
      </w:r>
      <w:hyperlink r:id="rId12" w:history="1">
        <w:r w:rsidRPr="00E7350E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 к настоящему Положению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>, и утверждается решением Собрания депутатов Аргаяшского муниципального района  о бюджете на очередной финансовый год и на плановый период.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Определение общего объема дотаций на выравнивание бюджетной обеспеченности поселений из бюджета муниципального района на очередной финансовый год, первый и второй годы планового периода и распределение дотаций на выравнивание бюджетной обеспеченности поселений в части, сформированной за счет собственных доходов районного бюджета, осуществляется исходя из бюджетной обеспеченности в соответствии с настоящим Положением и порядками, представленными в </w:t>
      </w:r>
      <w:hyperlink r:id="rId13" w:history="1">
        <w:r w:rsidRPr="00E7350E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</w:hyperlink>
      <w:r w:rsidRPr="00E7350E">
        <w:rPr>
          <w:rFonts w:ascii="Times New Roman" w:hAnsi="Times New Roman" w:cs="Times New Roman"/>
          <w:sz w:val="24"/>
          <w:szCs w:val="24"/>
        </w:rPr>
        <w:t>2 к настоящему Положению.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E7350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Финансовое управление Аргаяшского муниципального района заключает с главами сельских поселений, получающих дотации на выравнивание бюджетной обеспеченности сельских поселений за счет субвенций, полученных бюджетами муниципальных районов для осуществления государственных полномочий по расчету и предоставлению дотаций бюджетам сельских поселений за счет средств областного бюджета, соглашения, которыми предусматриваются меры по социально-экономическому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развитию и оздоровлению муниципальных финансов сельских поселений.</w:t>
      </w:r>
      <w:proofErr w:type="gramEnd"/>
    </w:p>
    <w:p w:rsidR="0095491D" w:rsidRPr="00E7350E" w:rsidRDefault="0095491D" w:rsidP="0095491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Порядок, сроки заключения соглашений, указанных в </w:t>
      </w:r>
      <w:hyperlink w:anchor="P37" w:history="1">
        <w:r w:rsidRPr="00E7350E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настоящей части, и требования к указанным соглашениям устанавливаются Правительством Челябинской области. Меры ответственности за нарушение порядка и сроков заключения указанных соглашений и за невыполнение органами местного самоуправления обязательств, возникающих из таких соглашений, устанавливаются Правительством Челябинской области и применяются в текущем финансовом году по результатам выполнения соответствующим поселением обязательств в отчетном финансовом году. </w:t>
      </w:r>
    </w:p>
    <w:p w:rsidR="0095491D" w:rsidRPr="00E7350E" w:rsidRDefault="0095491D" w:rsidP="0095491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8. Субсидии бюджетам поселений</w:t>
      </w:r>
    </w:p>
    <w:p w:rsidR="0095491D" w:rsidRPr="002A01BC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1. В случаях и порядке, предусмотренных решением Собрания депутатов Аргаяшского муниципального района, принимаемыми в соответствии с требованиями Бюджетного </w:t>
      </w:r>
      <w:hyperlink r:id="rId14" w:history="1">
        <w:r w:rsidRPr="00E7350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бюджетам поселений могут быть предоставлены субсидии из бюджета муниципального района в целях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поселений по решению вопросов местного значения.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2. Цели и условия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указанных в настоящей статье субсидий устанавливаются соглашениями между администрацией муниципального района и администрацией поселения, заключаемыми в порядке, установленном решением Собрания депутатов Аргаяшского муниципального района, из бюджета которого предоставляется субсидия.</w:t>
      </w:r>
    </w:p>
    <w:p w:rsidR="0095491D" w:rsidRDefault="0095491D" w:rsidP="0095491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autoSpaceDE w:val="0"/>
        <w:autoSpaceDN w:val="0"/>
        <w:adjustRightInd w:val="0"/>
        <w:ind w:firstLine="851"/>
        <w:jc w:val="center"/>
        <w:outlineLvl w:val="0"/>
        <w:rPr>
          <w:b/>
          <w:bCs/>
          <w:sz w:val="22"/>
          <w:szCs w:val="22"/>
        </w:rPr>
      </w:pPr>
      <w:r w:rsidRPr="00E7350E">
        <w:rPr>
          <w:b/>
          <w:bCs/>
          <w:sz w:val="22"/>
          <w:szCs w:val="22"/>
        </w:rPr>
        <w:t>Статья 9. Субсидии бюджетам муниципальных образований из местных бюджетов</w:t>
      </w:r>
    </w:p>
    <w:p w:rsidR="0095491D" w:rsidRPr="00AE49AC" w:rsidRDefault="0095491D" w:rsidP="0095491D">
      <w:pPr>
        <w:autoSpaceDE w:val="0"/>
        <w:autoSpaceDN w:val="0"/>
        <w:adjustRightInd w:val="0"/>
        <w:ind w:firstLine="851"/>
        <w:jc w:val="center"/>
        <w:outlineLvl w:val="0"/>
        <w:rPr>
          <w:bCs/>
          <w:sz w:val="28"/>
          <w:szCs w:val="28"/>
        </w:rPr>
      </w:pPr>
    </w:p>
    <w:p w:rsidR="0095491D" w:rsidRPr="00E7350E" w:rsidRDefault="0095491D" w:rsidP="0095491D">
      <w:pPr>
        <w:autoSpaceDE w:val="0"/>
        <w:autoSpaceDN w:val="0"/>
        <w:adjustRightInd w:val="0"/>
        <w:ind w:firstLine="851"/>
        <w:jc w:val="both"/>
      </w:pPr>
      <w:r w:rsidRPr="00E7350E">
        <w:t xml:space="preserve">1. В случаях и порядке, предусмотренных нормативными правовыми актами представительного органа муниципального образования, принимаемыми в соответствии с требованиями Бюджетного Кодекса, бюджетам других муниципальных образований могут быть предоставлены субсидии из бюджета муниципального образования в целях </w:t>
      </w:r>
      <w:proofErr w:type="spellStart"/>
      <w:r w:rsidRPr="00E7350E">
        <w:t>софинансирования</w:t>
      </w:r>
      <w:proofErr w:type="spellEnd"/>
      <w:r w:rsidRPr="00E7350E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2. Цели и условия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указанных в настоящей статье субсидий устанавливаются соглашениями между местными администрациями, заключаемыми в порядке, установленном решением представительного органа муниципального образования, из бюджета которого предоставляется субсидия.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10. Субвенции бюджетам сельских поселений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Бюджетам сельских поселений из районного бюджета межбюджетные трансферты 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Челябинской области, переданных для осуществления органам местного самоуправления поселений в установленном порядке, предоставляются в форме субвенций.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Субвенции бюджетам сельских поселений из районного бюджета формируются в районном бюджете за счет субвенций районному бюджету из областного бюджета на осуществление органами местного самоуправления отдельных  государственных полномочий федеральных органов власти и органов власти Челябинской области.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В случае наделения органов местного самоуправления муниципального района полномочиями органов государственной власти Челябинской области по расчету и предоставлению субвенций бюджетам поселений, субвенции бюджетам поселений из районного бюджета распределяются в соответствии с едиными для каждого вида субвенций методиками, утверждаемыми нормативно-правовыми актами Аргаяшского муниципального района в соответствии с требованиями законодательства Российской Федерации и нормативно-правовых актов Челябинской области, между всеми поселениями Аргаяшского муниципального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района, органы местного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которых осуществляют переданные полномочия, пропорционально численности населения (отдельных групп населения),  потребителей соответствующих государственных (муниципальных) услуг, другим показателям и с учетом нормативов формирования бюджетных ассигнований на исполнение соответствующих обязательств и объективных условий, влияющих на стоимость государственных (муниципальных) услуг в поселениях.</w:t>
      </w:r>
    </w:p>
    <w:p w:rsidR="0095491D" w:rsidRPr="00E7350E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Использование при распределении субвенций бюджетам поселений из районного бюджета показателей, характеризующих собственные доходы поселений, не допускается.</w:t>
      </w: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50E">
        <w:rPr>
          <w:rFonts w:ascii="Times New Roman" w:hAnsi="Times New Roman" w:cs="Times New Roman"/>
          <w:sz w:val="24"/>
          <w:szCs w:val="24"/>
        </w:rPr>
        <w:t>4. Распределение субвенций бюджетам сельских поселений из районного бюджета утверждается решением Собрания депутатов Аргаяшского муниципального района о бюджете на очередной финансовый год и плановый период по каждому сельскому поселению Аргаяшского муниципального района и виду субвенции</w:t>
      </w:r>
      <w:r w:rsidRPr="00DD4EA7">
        <w:rPr>
          <w:rFonts w:ascii="Times New Roman" w:hAnsi="Times New Roman" w:cs="Times New Roman"/>
          <w:sz w:val="28"/>
          <w:szCs w:val="28"/>
        </w:rPr>
        <w:t>.</w:t>
      </w:r>
    </w:p>
    <w:p w:rsidR="0095491D" w:rsidRPr="00E7350E" w:rsidRDefault="0095491D" w:rsidP="0095491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350E">
        <w:rPr>
          <w:rFonts w:ascii="Times New Roman" w:hAnsi="Times New Roman" w:cs="Times New Roman"/>
          <w:b/>
          <w:sz w:val="22"/>
          <w:szCs w:val="22"/>
        </w:rPr>
        <w:t>Статья 11. Иные межбюджетные трансферты бюджетам поселений</w:t>
      </w:r>
    </w:p>
    <w:p w:rsidR="0095491D" w:rsidRPr="007E47DE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В случаях и порядке, предусмотренных решением Собрания депутатов Аргаяшского муниципального района, принимаемыми в соответствии с требованиями Бюджетного </w:t>
      </w:r>
      <w:hyperlink r:id="rId15" w:history="1">
        <w:r w:rsidRPr="00E7350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законами Челябинской области, бюджетам сельских поселений из районного бюджета могут быть предоставлены иные межбюджетные трансферты,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Объем межбюджетных трансфертов на осуществление части полномочий по решению вопросов местного значения Аргаяшского муниципального района, подлежащих перечислению из районного бюджета в бюджеты поселений, утверждается решением Собрания депутатов Аргаяшского муниципального района о районном бюджете на очередной финансовый год и на плановый период.</w:t>
      </w:r>
    </w:p>
    <w:p w:rsidR="0095491D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</w:pP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Приложение 1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о межбюджетных отношениях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 xml:space="preserve">в </w:t>
      </w:r>
      <w:proofErr w:type="spellStart"/>
      <w:r w:rsidRPr="00E7350E">
        <w:rPr>
          <w:rFonts w:ascii="Times New Roman" w:hAnsi="Times New Roman" w:cs="Times New Roman"/>
        </w:rPr>
        <w:t>Аргаяшском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муниципальном районе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</w:rPr>
      </w:pPr>
    </w:p>
    <w:p w:rsidR="0095491D" w:rsidRPr="00E7350E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E7350E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 xml:space="preserve">распределения дотаций на выравнивание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бюджетной</w:t>
      </w:r>
      <w:proofErr w:type="gramEnd"/>
    </w:p>
    <w:p w:rsidR="0095491D" w:rsidRPr="00E7350E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обеспеченности сельских поселений за счет субвенции,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полученной бюджетом муниципального района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государственных полномочий по расчету и предоставлению</w:t>
      </w:r>
    </w:p>
    <w:p w:rsidR="0095491D" w:rsidRPr="00E7350E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дотаций бюджетам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за счет средств областного бюджета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Распределение дотаций на выравнивание бюджетной обеспеченности сельских поселений за счет субвенции, полученной бюджетом муниципального района для осуществления государственных полномочий по расчету и предоставлению дотаций бюджетам сельских поселений за счет средств областного бюджета (далее - дотация), осуществляется исходя из уровня их бюджетной обеспеченности.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Уровень бюджетной обеспеченности j-го сельского поселения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индекс налогового потенциала j-го сельского поселения;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индекс бюджетных расходов j-го сельского поселения.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3. Индекс налогового потенциала - относительная, по сравнению со средним по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Челябинской области уровнем, оценка налоговых доходов бюджета сельского поселения, определяемая с учетом уровня развития и структуры налоговой базы сельского поселения.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Индекс налогового потенциала применяется для сопоставления уровней бюджетной обеспеченности сельских поселений и не является прогнозируемой оценкой налоговых доходов бюджетов сельских поселений в расчете на душу населения или в абсолютном размере.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Индекс налогового потенциала рассчитывается согласно </w:t>
      </w:r>
      <w:hyperlink w:anchor="P183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4. Индекс бюджетных расходов - относительная, по сравнению со средним по Челябинской области уровнем, оценка расходов бюджета сельского поселения по предоставлению одинакового объема бюджетных услуг в расчете на душу населения, определяемая с учетом объективных местных факторов и условий.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Индекс бюджетных расходов применяется для сопоставления уровней расчетной бюджетной обеспеченности сельских поселений и не является прогнозируемой оценкой расходов бюджетов сельских поселений в расчете на душу населения или в абсолютном размере.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>Значение индекса бюджетных расходов для j-го сельского поселения принимается равным значению индекса бюджетных расходов муниципального района, на территории которого расположено j-е сельское поселение.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5. Дотации распределяются между сельскими поселениями муниципального района, уровни расчетной бюджетной обеспеченности которых не превышают уровень, установленный в качестве критерия выравнивания расчетной бюджетной обеспеченности сельских поселений, пропорционально отклонению уровней расчетной бюджетной обеспеченности этих сельских поселений от уровня, установленного в качестве критерия выравнивания расчетной бюджетной обеспеченности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6. В случае утверждения бюджета муниципального района на очередной финансовый год, первый и второй годы планового периода размер дотации для j-го сельского поселения на очередной финансовый год, первый и второй годы планового периода рассчитывается следующим образом: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1) объем дотаций, выделяемых бюджету j-го сельского поселения на очередной финансовый год, первый и второй годы планового периода, у которого расчетный объем дотаций превышает объем дотаций, утвержденных решением представительного органа муниципального района о бюджете муниципального района, определяется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43375" cy="304800"/>
            <wp:effectExtent l="19050" t="0" r="0" b="0"/>
            <wp:docPr id="1" name="Рисунок 1" descr="base_23721_17522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21_175222_3276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724400" cy="304800"/>
            <wp:effectExtent l="19050" t="0" r="0" b="0"/>
            <wp:docPr id="2" name="Рисунок 2" descr="base_23721_17522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21_175222_3276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247775" cy="285750"/>
            <wp:effectExtent l="19050" t="0" r="9525" b="0"/>
            <wp:docPr id="3" name="Рисунок 3" descr="base_23721_175222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21_175222_3277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СУММ - знак суммирования;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95275" cy="285750"/>
            <wp:effectExtent l="19050" t="0" r="9525" b="0"/>
            <wp:docPr id="4" name="Рисунок 4" descr="base_23721_175222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21_175222_3277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90525" cy="285750"/>
            <wp:effectExtent l="19050" t="0" r="0" b="0"/>
            <wp:docPr id="5" name="Рисунок 5" descr="base_23721_175222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21_175222_3277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09575" cy="285750"/>
            <wp:effectExtent l="19050" t="0" r="9525" b="0"/>
            <wp:docPr id="6" name="Рисунок 6" descr="base_23721_175222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21_175222_3277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дотации для бюджета j-го сельского поселения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lastRenderedPageBreak/>
        <w:drawing>
          <wp:inline distT="0" distB="0" distL="0" distR="0">
            <wp:extent cx="219075" cy="285750"/>
            <wp:effectExtent l="19050" t="0" r="9525" b="0"/>
            <wp:docPr id="7" name="Рисунок 7" descr="base_23721_175222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721_175222_32774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04800" cy="285750"/>
            <wp:effectExtent l="19050" t="0" r="0" b="0"/>
            <wp:docPr id="8" name="Рисунок 8" descr="base_23721_175222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721_175222_3277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33375" cy="285750"/>
            <wp:effectExtent l="19050" t="0" r="9525" b="0"/>
            <wp:docPr id="9" name="Рисунок 9" descr="base_23721_175222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721_175222_3277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расчетный объем дотации для бюджета j-го сельского поселения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85750" cy="285750"/>
            <wp:effectExtent l="19050" t="0" r="0" b="0"/>
            <wp:docPr id="10" name="Рисунок 10" descr="base_23721_175222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721_175222_3277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81000" cy="285750"/>
            <wp:effectExtent l="19050" t="0" r="0" b="0"/>
            <wp:docPr id="11" name="Рисунок 11" descr="base_23721_175222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721_175222_3277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дотаций, выделяемых бюджету j-го сельского поселения, утвержденный на первый и второй годы планового периода в соответствии с решением представительного органа муниципального района о бюджете муниципального района;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76250" cy="285750"/>
            <wp:effectExtent l="19050" t="0" r="0" b="0"/>
            <wp:docPr id="12" name="Рисунок 12" descr="base_23721_175222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721_175222_3277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95300" cy="285750"/>
            <wp:effectExtent l="19050" t="0" r="0" b="0"/>
            <wp:docPr id="13" name="Рисунок 13" descr="base_23721_175222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721_175222_32780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дотаций, сформированный за счет субвенции, полученной бюджетом муниципального района для осуществления государственных полномочий по расчету и предоставлению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дотаций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сельским поселениям за счет средств областного бюджета на очередной финансовый год и первый год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2) объем дотаций, выделяемых бюджету j-го сельского поселения на очередной финансовый год, первый и второй годы планового периода, для сельских поселений, у которых объем дотаций, утвержденных решением представительного органа муниципального района о бюджете муниципального района, превышает расчетный объем выделяемых дотаций, определяется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762000" cy="285750"/>
            <wp:effectExtent l="19050" t="0" r="0" b="0"/>
            <wp:docPr id="14" name="Рисунок 14" descr="base_23721_175222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721_175222_3278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62025" cy="285750"/>
            <wp:effectExtent l="19050" t="0" r="0" b="0"/>
            <wp:docPr id="15" name="Рисунок 15" descr="base_23721_175222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721_175222_3278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23925" cy="285750"/>
            <wp:effectExtent l="19050" t="0" r="0" b="0"/>
            <wp:docPr id="16" name="Рисунок 16" descr="base_23721_175222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721_175222_3278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3) расчет расчетного объема дотации для бюджета j-го сельского поселения на очередной финансовый год, первый и второй годы планового периода производится по следующим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495425" cy="285750"/>
            <wp:effectExtent l="19050" t="0" r="0" b="0"/>
            <wp:docPr id="17" name="Рисунок 17" descr="base_23721_175222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721_175222_3278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800225" cy="285750"/>
            <wp:effectExtent l="19050" t="0" r="0" b="0"/>
            <wp:docPr id="18" name="Рисунок 18" descr="base_23721_175222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21_175222_3278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190750" cy="285750"/>
            <wp:effectExtent l="19050" t="0" r="0" b="0"/>
            <wp:docPr id="19" name="Рисунок 19" descr="base_23721_175222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21_175222_3278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76250" cy="285750"/>
            <wp:effectExtent l="19050" t="0" r="0" b="0"/>
            <wp:docPr id="20" name="Рисунок 20" descr="base_23721_175222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21_175222_32787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95300" cy="285750"/>
            <wp:effectExtent l="19050" t="0" r="0" b="0"/>
            <wp:docPr id="21" name="Рисунок 21" descr="base_23721_175222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21_175222_32788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514350" cy="285750"/>
            <wp:effectExtent l="19050" t="0" r="0" b="0"/>
            <wp:docPr id="22" name="Рисунок 22" descr="base_23721_175222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21_175222_3278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дотаций, сформированный за счет субвенции, полученной бюджетом муниципального района для осуществления государственных полномочий по расчету и предоставлению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дотаций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сельским поселениям за счет средств областного бюджета,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19075" cy="285750"/>
            <wp:effectExtent l="19050" t="0" r="9525" b="0"/>
            <wp:docPr id="23" name="Рисунок 23" descr="base_23721_175222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21_175222_3279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23850" cy="285750"/>
            <wp:effectExtent l="19050" t="0" r="0" b="0"/>
            <wp:docPr id="24" name="Рисунок 24" descr="base_23721_175222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21_175222_3279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33375" cy="285750"/>
            <wp:effectExtent l="19050" t="0" r="9525" b="0"/>
            <wp:docPr id="25" name="Рисунок 25" descr="base_23721_175222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21_175222_32792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>, 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T+1</w:t>
      </w:r>
      <w:r w:rsidRPr="00E7350E">
        <w:rPr>
          <w:rFonts w:ascii="Times New Roman" w:hAnsi="Times New Roman" w:cs="Times New Roman"/>
          <w:sz w:val="24"/>
          <w:szCs w:val="24"/>
        </w:rPr>
        <w:t>, 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T+2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суммарный объем средств, необходимый для доведения уровней бюджетной обеспеченности сельских поселений муниципального района до уровня бюджетной обеспеченности, установленного в качестве критерия выравнивания бюджетной обеспеченности сельских поселений, на очередной финансовый год, первый и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второй годы планового периода.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7. В случае утверждения бюджета муниципального района на очередной финансовый год размер дотации для бюджета j-го сельского поселения (Д1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E73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Д1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E7350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Дот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 / Т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Дот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суб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дотаций, сформированный за счет субвенции, полученной бюджетом муниципального района для осуществления государственных полномочий по расчету и предоставлению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дотаций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сельским поселениям за счет средств областного бюджета;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Т - суммарный объем средств, необходимый для доведения уровней бюджетной обеспеченности сельских поселений муниципального района до уровня бюджетной обеспеченности, установленного в качестве критерия выравнивания бюджетной обеспеченности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8.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 = А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А - рассчитанный на основе показателей прогноза консолидированного бюджета Челябинской области средний уровень налоговых доходов бюджетов сельских поселений по нормативам, установленным </w:t>
      </w:r>
      <w:hyperlink r:id="rId39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расчете на душу населения (рассчитывается Министерством финансов Челябинской области);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End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уровень бюджетной обеспеченности, установленный в качестве критерия выравнивания бюджетной обеспеченности сельских поселений и рассчитываемый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End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+ НД) / НД,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субвенций бюджетам муниципальных районов из областного бюджета для осуществления государственных полномочий по расчету и предоставлению за счет средств областного бюджета дотаций бюджетам сельских поселений, входящих в состав территорий муниципальных районов;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НД - рассчитанный на основе показателей прогноза консолидированного бюджета Челябинской области общий объем налоговых доходов бюджетов сельских поселений по нормативам, установленным </w:t>
      </w:r>
      <w:hyperlink r:id="rId40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 проживающего на территории j-го сельского поселения, на последнюю отчетную дату на основании статистической отчетности.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Default="0095491D" w:rsidP="0095491D">
      <w:pPr>
        <w:pStyle w:val="ConsPlusNormal"/>
        <w:jc w:val="both"/>
      </w:pPr>
    </w:p>
    <w:p w:rsidR="0095491D" w:rsidRDefault="0095491D" w:rsidP="0095491D">
      <w:pPr>
        <w:pStyle w:val="ConsPlusNormal"/>
        <w:jc w:val="both"/>
      </w:pPr>
    </w:p>
    <w:p w:rsidR="0095491D" w:rsidRDefault="0095491D" w:rsidP="0095491D">
      <w:pPr>
        <w:pStyle w:val="ConsPlusNormal"/>
        <w:jc w:val="right"/>
        <w:outlineLvl w:val="1"/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Приложение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к Порядку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распределения дотаций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 xml:space="preserve">на выравнивание </w:t>
      </w:r>
      <w:proofErr w:type="gramStart"/>
      <w:r w:rsidRPr="00E7350E">
        <w:rPr>
          <w:rFonts w:ascii="Times New Roman" w:hAnsi="Times New Roman" w:cs="Times New Roman"/>
        </w:rPr>
        <w:t>бюджетной</w:t>
      </w:r>
      <w:proofErr w:type="gramEnd"/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обеспеченности сельских поселений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за счет субвенции, полученной бюджетом</w:t>
      </w:r>
    </w:p>
    <w:p w:rsidR="0095491D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 xml:space="preserve">для осуществления 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государственных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полномочий по расчету</w:t>
      </w:r>
    </w:p>
    <w:p w:rsidR="0095491D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и предоставлению дотаций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 xml:space="preserve">бюджетам 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сельских поселений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за счет средств областного бюджета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83"/>
      <w:bookmarkEnd w:id="2"/>
      <w:r w:rsidRPr="00E7350E">
        <w:rPr>
          <w:rFonts w:ascii="Times New Roman" w:hAnsi="Times New Roman" w:cs="Times New Roman"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индекса налогового потенциала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Индекс налогового потенциала j-го сельского поселения на очередной финансовый год, первый и второй годы планового периода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= СУММ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УВН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jk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),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УВН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удельный вес k-го налога, рассчитанного по нормативу отчислений, установленному на очередной финансовый год в соответствии со </w:t>
      </w:r>
      <w:hyperlink r:id="rId41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налоговых доходах бюджетов сельских поселений, рассчитанных по нормативам отчислений, установленным на очередной финансовый год в соответствии со </w:t>
      </w:r>
      <w:hyperlink r:id="rId42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среднем за 2 последних отчетных года (рассчитывается Министерством финансов Челябинской области);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jk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индекс налогового потенциала j-го сельского поселения по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k-му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налогу, учитываемому при оценке индекса налогового потенциала. Расчет производится по налогу на доходы физических лиц, единому сельскохозяйственному налогу, земельному налогу и налогу на имущество физических лиц.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2. Индекс налогового потенциала j-го сельского поселения по налогу на доходы физических лиц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47725" cy="304800"/>
            <wp:effectExtent l="0" t="0" r="0" b="0"/>
            <wp:docPr id="26" name="Рисунок 26" descr="base_23721_175222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21_175222_32793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0425" cy="304800"/>
            <wp:effectExtent l="19050" t="0" r="9525" b="0"/>
            <wp:docPr id="27" name="Рисунок 27" descr="base_23721_175222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21_175222_32794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 проживающего на территории j-го сельского поселения, на последнюю отчетную дату на основании статистической отчетности;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Н - численность населения, постоянно проживающего на территориях сельских поселений Челябинской области, на последнюю отчетную дату на основании статистической отчетности;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ООТ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налогу на доходы физических лиц, - объем оплаты труда наемных работников за последний отчетный год на основании информации Министерства экономического развития Челябинской области с учетом информации налоговых органов;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23850" cy="285750"/>
            <wp:effectExtent l="19050" t="0" r="0" b="0"/>
            <wp:docPr id="28" name="Рисунок 28" descr="base_23721_175222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21_175222_32795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коэффициент, учитывающий влияние на поступление налога на доходы физических лиц на территории j-го сельского поселения платежей обособленных подразделений, головные организации которых расположены за пределами Челябинской области, который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lastRenderedPageBreak/>
        <w:drawing>
          <wp:inline distT="0" distB="0" distL="0" distR="0">
            <wp:extent cx="1809750" cy="285750"/>
            <wp:effectExtent l="19050" t="0" r="0" b="0"/>
            <wp:docPr id="29" name="Рисунок 29" descr="base_23721_175222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21_175222_3279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процент изъятия налога на доходы физических лиц, фактически сложившийся в j-м сельском поселении;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ПрИз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средний по поселениям процент изъятия налога на доходы физических лиц (рассчитывается Министерством финансов Челябинской области).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Коэффициент рассчитывается по данным последнего отчетного года и принимает значение не менее 1.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Процент изъятия налога на доходы физических лиц, фактически сложившийся в j-м сельском поселении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НДФЛ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Норм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НДФЛ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ООТ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50E">
        <w:rPr>
          <w:rFonts w:ascii="Times New Roman" w:hAnsi="Times New Roman" w:cs="Times New Roman"/>
          <w:sz w:val="24"/>
          <w:szCs w:val="24"/>
        </w:rPr>
        <w:t>НДФЛ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сумма поступившего в бюджет j-го сельского поселения налога на доходы физических лиц, удерживаемого налоговыми агентами (налоговой базой по которому является оплата труда), за вычетом сумм, поступивших по результатам контрольной работы налоговых органов и в уплату задолженности прошлых лет, по информации налоговых органов;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Норм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НДФЛ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норматив зачисления налога на доходы физических лиц в бюджеты сельских поселений, установленный Бюджетным </w:t>
      </w:r>
      <w:hyperlink r:id="rId47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на соответствующий год;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ООТ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обл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суммарный объем оплаты труда наемных работников в сельских поселениях Челябинской области, рассчитанный с учетом корректировки на коэффициент, учитывающий влияние на поступление налога на доходы физических лиц платежей обособленных подразделений, головные организации которых расположены за пределами Челябинской области (рассчитывается Министерством финансов Челябинской области).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В случае отсутствия информации налоговых органов о суммах налога на доходы физических лиц, поступивших по результатам контрольной работы налоговых органов и в уплату задолженности прошлых лет в разрезе поселений, в расчете коэффициента, учитывающего влияние на поступление налога на доходы физических лиц платежей обособленных подразделений, головные организации которых расположены за пределами Челябинской области, используется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среднерайонный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процент изъятия налога на доходы физических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3. Индекс налогового потенциала j-го сельского поселения по земельному налогу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676275" cy="304800"/>
            <wp:effectExtent l="0" t="0" r="0" b="0"/>
            <wp:docPr id="30" name="Рисунок 30" descr="base_23721_175222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21_175222_32797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3028950" cy="333375"/>
            <wp:effectExtent l="19050" t="0" r="0" b="0"/>
            <wp:docPr id="31" name="Рисунок 31" descr="base_23721_175222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21_175222_32798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09575" cy="285750"/>
            <wp:effectExtent l="19050" t="0" r="0" b="0"/>
            <wp:docPr id="32" name="Рисунок 32" descr="base_23721_175222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21_175222_32799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земельному налогу, - кадастровая стоимость земельных участков, подлежащих налогообложению, за последний отчетный год по информации налоговых органов. В случае отсутствия информации налоговых органов используются сведения Министерства имущества и природных ресурсов Челябинской области;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19075" cy="285750"/>
            <wp:effectExtent l="19050" t="0" r="9525" b="0"/>
            <wp:docPr id="33" name="Рисунок 33" descr="base_23721_175222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21_175222_32800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коэффициент структуры земельного фонда j-го сельского поселения,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учитывающий преобладание земель различных категорий на территории сельского поселения, который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4"/>
          <w:sz w:val="24"/>
          <w:szCs w:val="24"/>
        </w:rPr>
        <w:drawing>
          <wp:inline distT="0" distB="0" distL="0" distR="0">
            <wp:extent cx="4057650" cy="704850"/>
            <wp:effectExtent l="19050" t="0" r="0" b="0"/>
            <wp:docPr id="34" name="Рисунок 34" descr="base_23721_175222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21_175222_32801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57200" cy="285750"/>
            <wp:effectExtent l="19050" t="0" r="0" b="0"/>
            <wp:docPr id="35" name="Рисунок 35" descr="base_23721_175222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21_175222_32802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кадастровая стоимость земельных участков j-го сельского поселения, подлежащих налогообложению, за последний отчетный год, для которых Налоговым </w:t>
      </w:r>
      <w:hyperlink r:id="rId54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0,3 процента;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47675" cy="285750"/>
            <wp:effectExtent l="19050" t="0" r="9525" b="0"/>
            <wp:docPr id="36" name="Рисунок 36" descr="base_23721_175222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21_175222_32803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кадастровая стоимость земельных участков j-го сельского поселения, подлежащих налогообложению, за последний отчетный год, для которых Налоговым </w:t>
      </w:r>
      <w:hyperlink r:id="rId56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1,5 процента;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552450" cy="266700"/>
            <wp:effectExtent l="19050" t="0" r="0" b="0"/>
            <wp:docPr id="37" name="Рисунок 37" descr="base_23721_175222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21_175222_32804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суммарная кадастровая стоимость земельных участков сельских поселений Челябинской области, подлежащих налогообложению, за последний отчетный год, для которых Налоговым </w:t>
      </w:r>
      <w:hyperlink r:id="rId58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0,3 процента (рассчитывается Министерством финансов Челябинской области);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552450" cy="266700"/>
            <wp:effectExtent l="19050" t="0" r="0" b="0"/>
            <wp:docPr id="38" name="Рисунок 38" descr="base_23721_175222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21_175222_32805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суммарная кадастровая стоимость земельных участков сельских поселений Челябинской области, подлежащих налогообложению, за последний отчетный год, для которых Налоговым </w:t>
      </w:r>
      <w:hyperlink r:id="rId60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1,5 процента (рассчитывается Министерством финансов Челябинской области);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476250" cy="266700"/>
            <wp:effectExtent l="19050" t="0" r="0" b="0"/>
            <wp:docPr id="39" name="Рисунок 39" descr="base_23721_175222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721_175222_3280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суммарный налоговый потенциал сельских поселений Челябинской области по земельному налогу, - кадастровая стоимость земельных участков, подлежащих налогообложению, за последний отчетный год, рассчитанный с учетом коэффициента структуры земельного фонда (рассчитывается Министерством финансов Челябинской области).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4. Индекс налогового потенциала j-го сельского поселения по единому сельскохозяйственному налогу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38200" cy="304800"/>
            <wp:effectExtent l="0" t="0" r="0" b="0"/>
            <wp:docPr id="40" name="Рисунок 40" descr="base_23721_175222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721_175222_3280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171825" cy="304800"/>
            <wp:effectExtent l="19050" t="0" r="9525" b="0"/>
            <wp:docPr id="41" name="Рисунок 41" descr="base_23721_175222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721_175222_3280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542925" cy="285750"/>
            <wp:effectExtent l="19050" t="0" r="9525" b="0"/>
            <wp:docPr id="42" name="Рисунок 42" descr="base_23721_175222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721_175222_3280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единому сельскохозяйственному налогу, - налоговая база по единому сельскохозяйственному налогу в соответствии с Налоговым </w:t>
      </w:r>
      <w:hyperlink r:id="rId65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за последний отчетный год, по информации налоговых органов;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542925" cy="266700"/>
            <wp:effectExtent l="19050" t="0" r="9525" b="0"/>
            <wp:docPr id="43" name="Рисунок 43" descr="base_23721_175222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21_175222_3281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суммарный налоговый потенциал сельских поселений Челябинской области по единому сельскохозяйственному налогу, - налоговая база по единому сельскохозяйственному налогу в соответствии с Налоговым </w:t>
      </w:r>
      <w:hyperlink r:id="rId67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Российской Федерации за последний отчетный год, по информации налоговых органов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(рассчитывается Министерством финансов Челябинской области).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5. Индекс налогового потенциала j-го сельского поселения по налогу на имущество физических лиц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47725" cy="304800"/>
            <wp:effectExtent l="0" t="0" r="0" b="0"/>
            <wp:docPr id="44" name="Рисунок 44" descr="base_23721_175222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21_175222_3281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28975" cy="304800"/>
            <wp:effectExtent l="19050" t="0" r="9525" b="0"/>
            <wp:docPr id="45" name="Рисунок 45" descr="base_23721_175222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21_175222_3281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552450" cy="285750"/>
            <wp:effectExtent l="19050" t="0" r="0" b="0"/>
            <wp:docPr id="46" name="Рисунок 46" descr="base_23721_175222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21_175222_3281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- показатель, характеризующий налоговый потенциал j-го сельского поселения по налогу на имущество физических лиц, - общая кадастровая стоимость строений, помещений и сооружений, находящихся в собственности физических лиц, по которым налог предъявлен к уплате в бюджет j-го сельского поселения за последний отчетный год, с учетом налоговых вычетов, установленных </w:t>
      </w:r>
      <w:hyperlink r:id="rId71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72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6 статьи 403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информации налоговых органов;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552450" cy="266700"/>
            <wp:effectExtent l="19050" t="0" r="0" b="0"/>
            <wp:docPr id="47" name="Рисунок 47" descr="base_23721_175222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721_175222_32814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- показатель, характеризующий суммарный налоговый потенциал сельских поселений Челябинской области по налогу на имущество физических лиц, - общая кадастровая стоимость строений, помещений и сооружений, находящихся в собственности физических лиц, по которым налог предъявлен к уплате в бюджеты сельских поселений Челябинской области за последний отчетный год, с учетом налоговых вычетов, установленных </w:t>
      </w:r>
      <w:hyperlink r:id="rId74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75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6 статьи 403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информации налоговых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органов (рассчитывается Министерством финансов Челябинской области).</w:t>
      </w: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0"/>
        <w:rPr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о межбюджетных отношениях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муниципальном районе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28"/>
      <w:bookmarkEnd w:id="3"/>
      <w:r w:rsidRPr="00E7350E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определения общего объема и распределения дотаций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 поселений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E">
        <w:rPr>
          <w:rFonts w:ascii="Times New Roman" w:hAnsi="Times New Roman" w:cs="Times New Roman"/>
          <w:sz w:val="24"/>
          <w:szCs w:val="24"/>
        </w:rPr>
        <w:t>из бюджета муниципального района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1. Общие объемы дотаций на выравнивание бюджетной обеспеченности поселений из бюджета муниципального района на очередной финансовый год, первый и второй годы планового периода рассчитываются по следующим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363E41" w:rsidP="009549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РФФПП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сп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</m:sSubSup>
        </m:oMath>
      </m:oMathPara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363E41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РФФПП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т+1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=0,85×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сп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</m:sSubSup>
        </m:oMath>
      </m:oMathPara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363E41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РФФПП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т+2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=0,85×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сп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РФФПП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</w:rPr>
        <w:t>, РФФПП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Т+1</w:t>
      </w:r>
      <w:r w:rsidRPr="00E7350E">
        <w:rPr>
          <w:rFonts w:ascii="Times New Roman" w:hAnsi="Times New Roman" w:cs="Times New Roman"/>
          <w:sz w:val="24"/>
          <w:szCs w:val="24"/>
        </w:rPr>
        <w:t>, РФФПП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Т+2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 на выравнивание бюджетной обеспеченности поселений из бюджета муниципального района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285750" cy="266700"/>
            <wp:effectExtent l="19050" t="0" r="0" b="0"/>
            <wp:docPr id="51" name="Рисунок 51" descr="base_23721_175222_32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23721_175222_32868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- часть общего объема дотаций на выравнивание бюджетной обеспеченности поселений из бюджета муниципального района, распределяемая между сельскими поселениям в очередном финансовом году (общий объем дотаций на выравнивание бюджетной обеспеченности сельских поселений, сформированный за счет собственных доходов бюджетов муниципальных районов, на очередной финансовый год), которая рассчитывается по следующей формуле:</w:t>
      </w:r>
      <w:proofErr w:type="gramEnd"/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2600325" cy="333375"/>
            <wp:effectExtent l="19050" t="0" r="9525" b="0"/>
            <wp:docPr id="52" name="Рисунок 52" descr="base_23721_175222_32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721_175222_32869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Р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оценочный показатель объема расходов бюджетов сельских поселений муниципального района, определяемый органами местного самоуправления муниципального района;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ПД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прогноз поступлений налоговых и неналоговых доходов в бюджеты сельских поселений муниципального района, определяемый органами местного самоуправления муниципального района;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323850" cy="266700"/>
            <wp:effectExtent l="19050" t="0" r="0" b="0"/>
            <wp:docPr id="53" name="Рисунок 53" descr="base_23721_175222_32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23721_175222_32870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дотаций на выравнивание бюджетной обеспеченности поселений, сформированный за счет субвенции, полученной бюджетом муниципального района для осуществления государственных полномочий по расчету и предоставлению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дотаций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сельским поселениям за счет средств областного бюджета;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50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- определяемая органами местного самоуправления муниципального района доля разницы между оценочным показателем объема расходов бюджетов сельских поселений муниципального района и суммой прогноза поступлений налоговых и неналоговых доходов в бюджеты сельских поселений муниципального района и объема дотаций на выравнивание бюджетной обеспеченности поселений, сформированного за счет субвенции, полученной бюджетом муниципального района для осуществления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государственных полномочий по расчету и предоставлению дотаций сельским поселениям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бюджета,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покрываемая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за счет собственных доходов бюджета муниципального района.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2. Распределение дотаций на выравнивание бюджетной обеспеченности поселений в части, сформированной за счет собственных доходов бюджетов муниципальных районов, осуществляется исходя из уровней бюджетной обеспеченности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Уровень бюджетной обеспеченности j-го сельского поселения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индекс налогового потенциала j-го сельского поселения;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индекс бюджетных расходов j-го сельского поселения.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3. Индекс налогового потенциала - относительная, по сравнению со средним по муниципальному району уровню, оценка налоговых доходов бюджета сельского поселения, определяемая с учетом уровня развития и структуры налоговой базы сельского поселения.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Индекс налогового потенциала применяется для сопоставления уровней бюджетной обеспеченности сельских поселений и не является прогнозируемой оценкой налоговых доходов бюджетов сельских поселений в расчете на душу населения или в абсолютном размере.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Индекс налогового потенциала сельского поселения рассчитывается согласно </w:t>
      </w:r>
      <w:hyperlink w:anchor="P539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приложению 2.1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4. Индекс бюджетных расходов - относительная, по сравнению со средним по муниципальному району уровнем, оценка расходов бюджета сельского поселения по предоставлению одинакового объема бюджетных услуг в расчете на душу населения, определяемая с учетом объективных местных факторов и условий.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Индекс бюджетных расходов применяется для сопоставления уровней расчетной бюджетной обеспеченности сельских поселений и не является прогнозируемой оценкой расходов бюджетов сельских поселений в расчете на душу населения или в абсолютном размере.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Индекс бюджетных расходов сельского поселения рассчитывается согласно </w:t>
      </w:r>
      <w:hyperlink w:anchor="P672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приложению 2.2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5. Дотации распределяются между сельскими поселениями муниципального района, уровни расчетной бюджетной обеспеченности которых не превышают уровень, установленный в качестве критерия выравнивания расчетной бюджетной обеспеченности, пропорционально отклонению уровней расчетной бюджетной обеспеченности указанных сельских поселений от уровня, установленного в качестве критерия выравнивания расчетной бюджетной обеспеченности.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6. В случае утверждения бюджета муниципального района на очередной финансовый год, первый и второй годы планового периода размер дотации для j-го сельского поселения на очередной финансовый год, первый и второй годы планового периода рассчитывается следующим образом: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1) объем дотаций, выделяемых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сельскому поселению на очередной финансовый год, первый и второй годы планового периода, у которого расчетный объем дотаций превышает объем дотаций, утвержденных решением представительного органа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о бюджете муниципального района, определяется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038600" cy="304800"/>
            <wp:effectExtent l="19050" t="0" r="0" b="0"/>
            <wp:docPr id="54" name="Рисунок 54" descr="base_23721_175222_32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721_175222_32871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743450" cy="304800"/>
            <wp:effectExtent l="19050" t="0" r="0" b="0"/>
            <wp:docPr id="55" name="Рисунок 55" descr="base_23721_175222_32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721_175222_32872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247775" cy="285750"/>
            <wp:effectExtent l="19050" t="0" r="9525" b="0"/>
            <wp:docPr id="56" name="Рисунок 56" descr="base_23721_175222_32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721_175222_3287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38125" cy="285750"/>
            <wp:effectExtent l="19050" t="0" r="9525" b="0"/>
            <wp:docPr id="57" name="Рисунок 57" descr="base_23721_175222_32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721_175222_32874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33375" cy="285750"/>
            <wp:effectExtent l="19050" t="0" r="0" b="0"/>
            <wp:docPr id="58" name="Рисунок 58" descr="base_23721_175222_32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21_175222_32875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42900" cy="285750"/>
            <wp:effectExtent l="19050" t="0" r="0" b="0"/>
            <wp:docPr id="59" name="Рисунок 59" descr="base_23721_175222_32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21_175222_32876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дотации для j-го сельского поселения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19075" cy="285750"/>
            <wp:effectExtent l="19050" t="0" r="9525" b="0"/>
            <wp:docPr id="60" name="Рисунок 60" descr="base_23721_175222_32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721_175222_32877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04800" cy="285750"/>
            <wp:effectExtent l="19050" t="0" r="0" b="0"/>
            <wp:docPr id="61" name="Рисунок 61" descr="base_23721_175222_32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721_175222_32878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33375" cy="285750"/>
            <wp:effectExtent l="19050" t="0" r="9525" b="0"/>
            <wp:docPr id="62" name="Рисунок 62" descr="base_23721_175222_32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721_175222_3287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расчетный объем дотации для j-го сельского поселения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85750" cy="219075"/>
            <wp:effectExtent l="19050" t="0" r="0" b="0"/>
            <wp:docPr id="63" name="Рисунок 63" descr="base_23721_175222_32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721_175222_3288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381000" cy="219075"/>
            <wp:effectExtent l="19050" t="0" r="0" b="0"/>
            <wp:docPr id="64" name="Рисунок 64" descr="base_23721_175222_32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721_175222_3288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дотаций, выделяемых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сельскому поселению, утвержденный на первый и второй год планового периода в соответствии с решением представительного органа муниципального района о бюджете муниципального района;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</w:rPr>
        <w:t>, 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Т+1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 на выравнивание бюджетной обеспеченности сельских поселений в части, сформированной за счет собственных доходов бюджетов муниципальных районов, на очередной финансовый год и первый год планового периода.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Исключением являются случаи внесения федеральными законами и законами Челябинской области изменений, приводящих к увеличению расходов и (или) снижению доходов бюджетов муниципальных районов;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 xml:space="preserve">2) объем дотаций, выделяемых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сельскому поселению на очередной финансовый год, первый и второй годы планового периода, для сельских поселений, у которых объем дотаций, утвержденных решением представительного органа муниципального района о бюджете муниципального района, превышает расчетный объем выделяемых дотаций, определяется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723900" cy="285750"/>
            <wp:effectExtent l="19050" t="0" r="0" b="0"/>
            <wp:docPr id="65" name="Рисунок 65" descr="base_23721_175222_32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721_175222_3288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14400" cy="285750"/>
            <wp:effectExtent l="19050" t="0" r="0" b="0"/>
            <wp:docPr id="66" name="Рисунок 66" descr="base_23721_175222_32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23721_175222_3288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52500" cy="285750"/>
            <wp:effectExtent l="19050" t="0" r="0" b="0"/>
            <wp:docPr id="67" name="Рисунок 67" descr="base_23721_175222_32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23721_175222_3288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Исключением являются случаи внесения федеральными законами и законами Челябинской области изменений, приводящих к увеличению расходов и (или) снижению доходов бюджетов муниципальных районов;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3) расчет расчетного объема дотации для j-го сельского поселения на очередной финансовый год, первый и второй годы планового периода производится по следующим формулам: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257300" cy="285750"/>
            <wp:effectExtent l="19050" t="0" r="0" b="0"/>
            <wp:docPr id="68" name="Рисунок 68" descr="base_23721_175222_32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23721_175222_3288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638300" cy="285750"/>
            <wp:effectExtent l="19050" t="0" r="0" b="0"/>
            <wp:docPr id="69" name="Рисунок 69" descr="base_23721_175222_32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23721_175222_3288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047875" cy="285750"/>
            <wp:effectExtent l="19050" t="0" r="9525" b="0"/>
            <wp:docPr id="70" name="Рисунок 70" descr="base_23721_175222_32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721_175222_3288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</w:rPr>
        <w:t>, 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Т+1</w:t>
      </w:r>
      <w:r w:rsidRPr="00E7350E">
        <w:rPr>
          <w:rFonts w:ascii="Times New Roman" w:hAnsi="Times New Roman" w:cs="Times New Roman"/>
          <w:sz w:val="24"/>
          <w:szCs w:val="24"/>
        </w:rPr>
        <w:t>, 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Т+2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общий объем дотаций на выравнивание бюджетной обеспеченности сельских поселений в части, сформированной за счет собственных доходов бюджетов муниципальных районов,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, 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Т+1</w:t>
      </w:r>
      <w:r w:rsidRPr="00E7350E">
        <w:rPr>
          <w:rFonts w:ascii="Times New Roman" w:hAnsi="Times New Roman" w:cs="Times New Roman"/>
          <w:sz w:val="24"/>
          <w:szCs w:val="24"/>
        </w:rPr>
        <w:t>, Тj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Т+2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 на очередной финансовый год, первый и второй годы планового периода;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proofErr w:type="gramEnd"/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+1</w:t>
      </w:r>
      <w:r w:rsidRPr="00E7350E">
        <w:rPr>
          <w:rFonts w:ascii="Times New Roman" w:hAnsi="Times New Roman" w:cs="Times New Roman"/>
          <w:sz w:val="24"/>
          <w:szCs w:val="24"/>
        </w:rPr>
        <w:t>, Т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Т+2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суммарный объем средств, необходимый для доведения уровней бюджетной обеспеченности сельских поселений муниципального района до уровня бюджетной обеспеченности, установленного в качестве критерия выравнивания бюджетной обеспеченности сельских поселений на очередной финансовый год, первый и второй годы планового периода.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7. В случае утверждения бюджета муниципального района на очередной финансовый год расчет размера дотации для j-го сельского поселения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 на очередной финансовый год производится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Д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= 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 / Т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Т - суммарный объем средств, необходимый для доведения уровней бюджетной обеспеченности сельских поселений муниципального района до уровня бюджетной обеспеченности, установленного в качестве критерия выравнивания бюджетной обеспеченности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8. Объем средств, необходимый для доведения уровня бюджетной обеспеченности j-го сельского поселения до уровня бюджетной обеспеченности, установленного в качестве критерия выравнивания бюджетной обеспеченности сельских поселений (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Т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 = А</w:t>
      </w:r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(КВ -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БС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К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ФОНД</w:t>
      </w:r>
      <w:r w:rsidRPr="00E735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ИБР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</w:t>
      </w:r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7350E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А - рассчитанный на основе показателей прогноза консолидированного бюджета муниципального района средний уровень налоговых доходов сельских поселений в расчете на душу населения.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Расчет указанного показателя для сельских поселений осуществляется по нормативам, установленным </w:t>
      </w:r>
      <w:hyperlink r:id="rId92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муниципальными правовыми актами представительного органа муниципального района в соответствии с </w:t>
      </w:r>
      <w:hyperlink r:id="rId93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Федерации,;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КВ - критерий выравнивания бюджетной обеспеченности сельских поселений, утвержденный решением представительного органа муниципального района о бюджете муниципального района;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К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ФОНД</w:t>
      </w:r>
      <w:r w:rsidRPr="00E7350E">
        <w:rPr>
          <w:rFonts w:ascii="Times New Roman" w:hAnsi="Times New Roman" w:cs="Times New Roman"/>
          <w:sz w:val="24"/>
          <w:szCs w:val="24"/>
        </w:rPr>
        <w:t xml:space="preserve"> - коэффициент корректировки уровней бюджетной обеспеченности сельских поселений исходя из объема дотаций на выравнивание бюджетной обеспеченности </w:t>
      </w:r>
      <w:r w:rsidRPr="00E7350E">
        <w:rPr>
          <w:rFonts w:ascii="Times New Roman" w:hAnsi="Times New Roman" w:cs="Times New Roman"/>
          <w:sz w:val="24"/>
          <w:szCs w:val="24"/>
        </w:rPr>
        <w:lastRenderedPageBreak/>
        <w:t>сельских поселений в части, сформированной за счет собственных доходов бюджетов муниципальных районов, который рассчитывается по следующей формуле: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К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ФОНД</w:t>
      </w:r>
      <w:r w:rsidRPr="00E7350E">
        <w:rPr>
          <w:rFonts w:ascii="Times New Roman" w:hAnsi="Times New Roman" w:cs="Times New Roman"/>
          <w:sz w:val="24"/>
          <w:szCs w:val="24"/>
        </w:rPr>
        <w:t xml:space="preserve"> = НП / (НП + Д</w:t>
      </w:r>
      <w:r w:rsidRPr="00E7350E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Pr="00E7350E">
        <w:rPr>
          <w:rFonts w:ascii="Times New Roman" w:hAnsi="Times New Roman" w:cs="Times New Roman"/>
          <w:sz w:val="24"/>
          <w:szCs w:val="24"/>
        </w:rPr>
        <w:t>), где: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50E">
        <w:rPr>
          <w:rFonts w:ascii="Times New Roman" w:hAnsi="Times New Roman" w:cs="Times New Roman"/>
          <w:sz w:val="24"/>
          <w:szCs w:val="24"/>
        </w:rPr>
        <w:t>НП - рассчитанный на основе показателей прогноза консолидированного бюджета муниципального района общий объем налоговых доходов сельских поселений.</w:t>
      </w:r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0E">
        <w:rPr>
          <w:rFonts w:ascii="Times New Roman" w:hAnsi="Times New Roman" w:cs="Times New Roman"/>
          <w:sz w:val="24"/>
          <w:szCs w:val="24"/>
        </w:rPr>
        <w:t xml:space="preserve">Расчет указанного показателя сельских поселений осуществляется по нормативам, установленным </w:t>
      </w:r>
      <w:hyperlink r:id="rId94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муниципальными правовыми актами представительного органа муниципального района в соответствии с </w:t>
      </w:r>
      <w:hyperlink r:id="rId95" w:history="1">
        <w:r w:rsidRPr="00E7350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E7350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 </w:t>
      </w:r>
      <w:proofErr w:type="gramEnd"/>
    </w:p>
    <w:p w:rsidR="0095491D" w:rsidRPr="00E7350E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50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E7350E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E7350E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 проживающего на территории j-го сельского поселения, на последнюю отчетную дату на основании статистической отчетности.</w:t>
      </w: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5491D" w:rsidRPr="00E7350E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Приложение 2.1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к Порядку</w:t>
      </w:r>
      <w:r>
        <w:rPr>
          <w:rFonts w:ascii="Times New Roman" w:hAnsi="Times New Roman" w:cs="Times New Roman"/>
        </w:rPr>
        <w:t xml:space="preserve"> </w:t>
      </w:r>
      <w:r w:rsidRPr="00E7350E">
        <w:rPr>
          <w:rFonts w:ascii="Times New Roman" w:hAnsi="Times New Roman" w:cs="Times New Roman"/>
        </w:rPr>
        <w:t>определения общего объема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и распределения дотаций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 xml:space="preserve">на выравнивание </w:t>
      </w:r>
      <w:proofErr w:type="gramStart"/>
      <w:r w:rsidRPr="00E7350E">
        <w:rPr>
          <w:rFonts w:ascii="Times New Roman" w:hAnsi="Times New Roman" w:cs="Times New Roman"/>
        </w:rPr>
        <w:t>бюджетной</w:t>
      </w:r>
      <w:proofErr w:type="gramEnd"/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обеспеченности поселений</w:t>
      </w:r>
    </w:p>
    <w:p w:rsidR="0095491D" w:rsidRPr="00E7350E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E7350E">
        <w:rPr>
          <w:rFonts w:ascii="Times New Roman" w:hAnsi="Times New Roman" w:cs="Times New Roman"/>
        </w:rPr>
        <w:t>из бюджета муниципального района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9E2A5B" w:rsidRDefault="0095491D" w:rsidP="0095491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539"/>
      <w:bookmarkEnd w:id="4"/>
      <w:r w:rsidRPr="009E2A5B">
        <w:rPr>
          <w:rFonts w:ascii="Times New Roman" w:hAnsi="Times New Roman" w:cs="Times New Roman"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A5B">
        <w:rPr>
          <w:rFonts w:ascii="Times New Roman" w:hAnsi="Times New Roman" w:cs="Times New Roman"/>
          <w:sz w:val="24"/>
          <w:szCs w:val="24"/>
        </w:rPr>
        <w:t>индекса налогового потенциала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1. Индекс налогового потенциала j-го сельского поселения на очередной финансовый год, первый и второй годы планового периода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ИНПj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= СУММ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УВН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ИНП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jk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>),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СУММ - знак суммирования;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УВН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удельный вес k-го налога по нормативу отчислений, установленному на очередной финансовый год в соответствии со </w:t>
      </w:r>
      <w:hyperlink r:id="rId96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муниципальными правовыми актами представительного органа муниципального района в соответствии с </w:t>
      </w:r>
      <w:hyperlink r:id="rId97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налоговых доходах бюджетов сельских поселений муниципального района, рассчитанных по нормативам отчислений, установленным на очередной финансовый год в соответствии со </w:t>
      </w:r>
      <w:hyperlink r:id="rId98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статьей 61-5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муниципальными правовыми актами представительного органа муниципального района в соответствии с </w:t>
      </w:r>
      <w:hyperlink r:id="rId99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среднем за 2 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отчетных года;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lastRenderedPageBreak/>
        <w:t>ИНП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jk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индекс налогового потенциала j-го сельского поселения по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k-му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налогу, учитываемому при оценке индекса налогового потенциала.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Расчет производится по налогу на доходы физических лиц, единому сельскохозяйственному налогу, земельному налогу, налогу на имущество физических лиц и по налогам, нормативы отчислений по которым установлены в бюджеты сельских поселений муниципальными правовыми актами представительного органа муниципального района в соответствии с </w:t>
      </w:r>
      <w:hyperlink r:id="rId100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2. Индекс налогового потенциала j-го сельского поселения по налогу на доходы физических лиц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47725" cy="304800"/>
            <wp:effectExtent l="0" t="0" r="0" b="0"/>
            <wp:docPr id="71" name="Рисунок 71" descr="base_23721_175222_32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721_175222_328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4400550" cy="333375"/>
            <wp:effectExtent l="19050" t="0" r="0" b="0"/>
            <wp:docPr id="72" name="Рисунок 72" descr="base_23721_175222_32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721_175222_328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 проживающего на территории j-го сельского поселения, на последнюю отчетную дату на основании статистической отчетности;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Н - численность населения, постоянно проживающего на территории поселений муниципального района, на последнюю отчетную дату на основании статистической отчетности;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ООТ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налогу на доходы физических лиц, - объем оплаты труда наемных работников за последний отчетный год на основании информации Министерства экономического развития Челябинской области с учетом информации налоговых органов;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23850" cy="285750"/>
            <wp:effectExtent l="19050" t="0" r="0" b="0"/>
            <wp:docPr id="73" name="Рисунок 73" descr="base_23721_175222_32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721_175222_3289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коэффициент, учитывающий влияние на поступление налога на доходы физических лиц на территории j-го сельского поселения платежей обособленных подразделений, головные организации которых расположены за пределами Челябинской области, который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838325" cy="285750"/>
            <wp:effectExtent l="19050" t="0" r="9525" b="0"/>
            <wp:docPr id="74" name="Рисунок 74" descr="base_23721_175222_32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21_175222_3289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процент изъятия налога на доходы физических лиц, фактически сложившийся в j-м сельском поселении;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ПрИз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среднерайонный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процент изъятия налога на доходы физических лиц на основании расчетов органов местного самоуправления муниципального района.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Коэффициент рассчитывается по данным последнего отчетного года и принимает значение не менее 1.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Процент изъятия налога на доходы физических лиц, фактически сложившийся в j-м сельском поселении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ПрИз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НДФЛ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Норм</w:t>
      </w:r>
      <w:r w:rsidRPr="009E2A5B">
        <w:rPr>
          <w:rFonts w:ascii="Times New Roman" w:hAnsi="Times New Roman" w:cs="Times New Roman"/>
          <w:sz w:val="24"/>
          <w:szCs w:val="24"/>
          <w:vertAlign w:val="superscript"/>
        </w:rPr>
        <w:t>НДФЛ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ООТ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2A5B">
        <w:rPr>
          <w:rFonts w:ascii="Times New Roman" w:hAnsi="Times New Roman" w:cs="Times New Roman"/>
          <w:sz w:val="24"/>
          <w:szCs w:val="24"/>
        </w:rPr>
        <w:t>НДФЛ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- сумма поступившего за последний отчетный год в бюджет j-го сельского поселения налога на доходы физических лиц, удерживаемого налоговыми агентами (налоговой базой по которому является оплата труда наемных работников), за вычетом сумм, поступивших по результатам контрольной работы налоговых органов и в уплату задолженности прошлых лет, по информации налоговых органов;</w:t>
      </w:r>
      <w:proofErr w:type="gramEnd"/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lastRenderedPageBreak/>
        <w:t>Норм</w:t>
      </w:r>
      <w:r w:rsidRPr="009E2A5B">
        <w:rPr>
          <w:rFonts w:ascii="Times New Roman" w:hAnsi="Times New Roman" w:cs="Times New Roman"/>
          <w:sz w:val="24"/>
          <w:szCs w:val="24"/>
          <w:vertAlign w:val="superscript"/>
        </w:rPr>
        <w:t>НДФЛ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- норматив зачисления налога на доходы физических лиц в бюджеты сельских поселений, установленный Бюджетным </w:t>
      </w:r>
      <w:hyperlink r:id="rId104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Российской Федерации и муниципальными правовыми актами представительного органа муниципального района в соответствии со </w:t>
      </w:r>
      <w:hyperlink r:id="rId105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статьей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5B">
        <w:rPr>
          <w:rFonts w:ascii="Times New Roman" w:hAnsi="Times New Roman" w:cs="Times New Roman"/>
          <w:sz w:val="24"/>
          <w:szCs w:val="24"/>
        </w:rPr>
        <w:t xml:space="preserve">В случае отсутствия информации налоговых органов о суммах налога на доходы физических лиц, поступивших по результатам контрольной работы налоговых органов и в уплату задолженности прошлых лет в разрезе поселений, в расчете коэффициента, учитывающего влияние на поступление налога на доходы физических лиц платежей обособленных подразделений, головные организации которых расположены за пределами Челябинской области, используется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среднерайонный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процент изъятия налога на доходы физических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3. Индекс налогового потенциала j-го сельского поселения по земельному налогу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676275" cy="304800"/>
            <wp:effectExtent l="0" t="0" r="0" b="0"/>
            <wp:docPr id="75" name="Рисунок 75" descr="base_23721_175222_32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21_175222_3289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4057650" cy="333375"/>
            <wp:effectExtent l="19050" t="0" r="0" b="0"/>
            <wp:docPr id="76" name="Рисунок 76" descr="base_23721_175222_32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21_175222_3289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09575" cy="285750"/>
            <wp:effectExtent l="19050" t="0" r="0" b="0"/>
            <wp:docPr id="77" name="Рисунок 77" descr="base_23721_175222_32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21_175222_32894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земельному налогу за последний отчетный год, - кадастровая стоимость земельных участков, подлежащих налогообложению, по информации налоговых органов. В случае отсутствия информации налогового органа используются сведения Министерства имущества и природных ресурсов Челябинской области;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19075" cy="285750"/>
            <wp:effectExtent l="19050" t="0" r="9525" b="0"/>
            <wp:docPr id="78" name="Рисунок 78" descr="base_23721_175222_32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21_175222_32895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коэффициент структуры земельного фонда j-го сельского поселения, учитывающий преобладание земель различных категорий на территории муниципального образования, который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4"/>
          <w:sz w:val="24"/>
          <w:szCs w:val="24"/>
        </w:rPr>
        <w:drawing>
          <wp:inline distT="0" distB="0" distL="0" distR="0">
            <wp:extent cx="5943600" cy="695325"/>
            <wp:effectExtent l="19050" t="0" r="0" b="0"/>
            <wp:docPr id="79" name="Рисунок 79" descr="base_23721_175222_32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21_175222_32896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57200" cy="285750"/>
            <wp:effectExtent l="19050" t="0" r="0" b="0"/>
            <wp:docPr id="80" name="Рисунок 80" descr="base_23721_175222_32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21_175222_32897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кадастровая стоимость земельных участков j-го сельского поселения, подлежащих налогообложению, за последний отчетный год, для которых Налоговым </w:t>
      </w:r>
      <w:hyperlink r:id="rId109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0,3 процента;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47675" cy="285750"/>
            <wp:effectExtent l="19050" t="0" r="9525" b="0"/>
            <wp:docPr id="81" name="Рисунок 81" descr="base_23721_175222_32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21_175222_32898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кадастровая стоимость земельных участков j-го сельского поселения, подлежащих налогообложению, за последний отчетный год, для которых Налоговым </w:t>
      </w:r>
      <w:hyperlink r:id="rId110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Российской Федерации установлена максимально возможная налоговая ставка 1,5 процента.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4. Индекс налогового потенциала j-го сельского поселения по единому сельскохозяйственному налогу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38200" cy="304800"/>
            <wp:effectExtent l="0" t="0" r="0" b="0"/>
            <wp:docPr id="82" name="Рисунок 82" descr="base_23721_175222_32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21_175222_3289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3325" cy="304800"/>
            <wp:effectExtent l="19050" t="0" r="0" b="0"/>
            <wp:docPr id="83" name="Рисунок 83" descr="base_23721_175222_32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21_175222_3290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lastRenderedPageBreak/>
        <w:drawing>
          <wp:inline distT="0" distB="0" distL="0" distR="0">
            <wp:extent cx="542925" cy="285750"/>
            <wp:effectExtent l="19050" t="0" r="9525" b="0"/>
            <wp:docPr id="84" name="Рисунок 84" descr="base_23721_175222_32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21_175222_32901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единому сельскохозяйственному налогу, - налоговая база по единому сельскохозяйственному налогу в соответствии с Налоговым </w:t>
      </w:r>
      <w:hyperlink r:id="rId113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Российской Федерации за последний отчетный год по информации налоговых органов.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5. Индекс налогового потенциала j-го сельского поселения по налогу на имущество физических лиц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847725" cy="304800"/>
            <wp:effectExtent l="0" t="0" r="0" b="0"/>
            <wp:docPr id="85" name="Рисунок 85" descr="base_23721_175222_32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21_175222_32902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81425" cy="304800"/>
            <wp:effectExtent l="19050" t="0" r="9525" b="0"/>
            <wp:docPr id="86" name="Рисунок 86" descr="base_23721_175222_32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21_175222_32903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552450" cy="285750"/>
            <wp:effectExtent l="19050" t="0" r="0" b="0"/>
            <wp:docPr id="87" name="Рисунок 87" descr="base_23721_175222_32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21_175222_32904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 xml:space="preserve">- показатель, характеризующий налоговый потенциал j-го сельского поселения по налогу на имущество физических лиц, - общая кадастровая стоимость строений, помещений и сооружений, находящихся в собственности физических лиц, по которым налог предъявлен к уплате в бюджет j-го сельского поселения за последний отчетный год, с учетом налоговых вычетов, установленных </w:t>
      </w:r>
      <w:hyperlink r:id="rId116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7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6 статьи 403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информации налоговых органов.</w:t>
      </w:r>
      <w:proofErr w:type="gramEnd"/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6. Индекс налогового потенциала j-го сельского поселения по другим налогам, нормативы отчислений по которым установлены в бюджеты сельских поселений муниципальными правовыми актами представительного органа муниципального района в соответствии с </w:t>
      </w:r>
      <w:hyperlink r:id="rId118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на очередной финансовый год, первый и второй годы планового периода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676275" cy="304800"/>
            <wp:effectExtent l="0" t="0" r="0" b="0"/>
            <wp:docPr id="88" name="Рисунок 88" descr="base_23721_175222_32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21_175222_3290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14700" cy="304800"/>
            <wp:effectExtent l="19050" t="0" r="0" b="0"/>
            <wp:docPr id="89" name="Рисунок 89" descr="base_23721_175222_32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21_175222_3290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409575" cy="285750"/>
            <wp:effectExtent l="19050" t="0" r="0" b="0"/>
            <wp:docPr id="90" name="Рисунок 90" descr="base_23721_175222_32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21_175222_32907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показатель, характеризующий налоговый потенциал j-го сельского поселения по налогу, норматив отчислений по которому установлен в бюджеты сельских поселений муниципальным правовым актом представительного органа муниципального района в соответствии с </w:t>
      </w:r>
      <w:hyperlink r:id="rId122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Показатель, характеризующий налоговый потенциал по налогу, норматив отчислений по которому установлен в бюджеты сельских поселений муниципальным правовым актом представительного органа муниципального района в соответствии с </w:t>
      </w:r>
      <w:hyperlink r:id="rId123" w:history="1">
        <w:r w:rsidRPr="009E2A5B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63</w:t>
        </w:r>
      </w:hyperlink>
      <w:r w:rsidRPr="009E2A5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определяется по согласованию с главами местных администраций (руководителями исполнительно-распорядительных органов) городских (сельских) поселений.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При отсутствии согласования показателя с главами местных администраций (руководителями исполнительно-распорядительных органов) сельских поселений индекс налогового потенциала принимается 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1 для каждого сельского поселения муниципального района.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491D" w:rsidRPr="009E2A5B" w:rsidRDefault="0095491D" w:rsidP="0095491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>Приложение 2.2</w:t>
      </w:r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>к Порядку</w:t>
      </w:r>
      <w:r>
        <w:rPr>
          <w:rFonts w:ascii="Times New Roman" w:hAnsi="Times New Roman" w:cs="Times New Roman"/>
        </w:rPr>
        <w:t xml:space="preserve"> </w:t>
      </w:r>
      <w:r w:rsidRPr="009E2A5B">
        <w:rPr>
          <w:rFonts w:ascii="Times New Roman" w:hAnsi="Times New Roman" w:cs="Times New Roman"/>
        </w:rPr>
        <w:t>определения общего объема</w:t>
      </w:r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>и распределения дотаций</w:t>
      </w:r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 xml:space="preserve">на выравнивание </w:t>
      </w:r>
      <w:proofErr w:type="gramStart"/>
      <w:r w:rsidRPr="009E2A5B">
        <w:rPr>
          <w:rFonts w:ascii="Times New Roman" w:hAnsi="Times New Roman" w:cs="Times New Roman"/>
        </w:rPr>
        <w:t>бюджетной</w:t>
      </w:r>
      <w:proofErr w:type="gramEnd"/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>обеспеченности поселений</w:t>
      </w:r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</w:rPr>
      </w:pPr>
      <w:r w:rsidRPr="009E2A5B">
        <w:rPr>
          <w:rFonts w:ascii="Times New Roman" w:hAnsi="Times New Roman" w:cs="Times New Roman"/>
        </w:rPr>
        <w:t>из бюджета муниципального района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</w:rPr>
      </w:pPr>
    </w:p>
    <w:p w:rsidR="0095491D" w:rsidRPr="009E2A5B" w:rsidRDefault="0095491D" w:rsidP="009549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672"/>
      <w:bookmarkEnd w:id="5"/>
      <w:r w:rsidRPr="009E2A5B">
        <w:rPr>
          <w:rFonts w:ascii="Times New Roman" w:hAnsi="Times New Roman" w:cs="Times New Roman"/>
          <w:sz w:val="24"/>
          <w:szCs w:val="24"/>
        </w:rPr>
        <w:t>Расчет индекса бюджетных расходов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Индекс бюджетных расходов j-го сельского поселения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= СУММ (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а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ИБР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JI</w:t>
      </w:r>
      <w:r w:rsidRPr="009E2A5B">
        <w:rPr>
          <w:rFonts w:ascii="Times New Roman" w:hAnsi="Times New Roman" w:cs="Times New Roman"/>
          <w:sz w:val="24"/>
          <w:szCs w:val="24"/>
        </w:rPr>
        <w:t>),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СУММ - знак суммирования (суммирование производится по всем видам расходов j-го сельского поселения);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5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доля i-го вида расходов в общем объеме расходов бюджетов сельских поселений муниципального района на решение вопросов местного значения поселений в последнем отчетном году;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JI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индекс бюджетных расходов j-го сельского поселения по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виду расходов, учитываемых при оценке индекса бюджетных расходов поселений, который рассчитывается по следующей формуле: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2A5B">
        <w:rPr>
          <w:rFonts w:ascii="Times New Roman" w:hAnsi="Times New Roman" w:cs="Times New Roman"/>
          <w:sz w:val="24"/>
          <w:szCs w:val="24"/>
        </w:rPr>
        <w:t>ИБР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= (П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JN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H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СУММ (П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JN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H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>),</w:t>
      </w:r>
      <w:proofErr w:type="gramEnd"/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где: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П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численность потребителей бюджетных услуг j-го сельского поселения по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виду расходов;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>, ..., 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JN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коэффициенты удорожания (удешевления) стоимости предоставления бюджетных услуг, отражающие факторы, влияющие на стоимость предоставляемых бюджетных услуг, по </w:t>
      </w:r>
      <w:proofErr w:type="spellStart"/>
      <w:r w:rsidRPr="009E2A5B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9E2A5B">
        <w:rPr>
          <w:rFonts w:ascii="Times New Roman" w:hAnsi="Times New Roman" w:cs="Times New Roman"/>
          <w:sz w:val="24"/>
          <w:szCs w:val="24"/>
        </w:rPr>
        <w:t xml:space="preserve"> виду расходов в расчете на одного жителя в j-м сельском поселении;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H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 проживающего на территории j-го сельского поселения, на последнюю отчетную дату на основании статистической отчетности;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СУММ - знак суммирования;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Н - численность населения, постоянно проживающего на территории муниципального района, на последнюю отчетную дату на основании статистической отчетности.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Для оценки относительных различий в расходных потребностях численность потребителей бюджетных услуг каждого сельского поселения по видам расходов корректируется на коэффициенты, отражающие социально-экономические, географические и иные объективные факторы, влияющие на стоимость предоставления одного и того же объема бюджетных услуг в расчете на одного жителя.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В расчете индекса бюджетных расходов применяются следующие коэффициенты удорожания (удешевления) стоимости бюджетных услуг: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1) коэффициент дисперсности расселения (K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J1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(1 + НМ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/ H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>) / (1 + НМ / H),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НМ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численность населения, постоянного проживающего в населенных пунктах с населением до 500 человек j-го сельского поселения, на последнюю отчетную дату на основании статистической отчетности;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НМ - численность населения, постоянно проживающего в населенных пунктах с населением до 500 человек муниципального района, на последнюю отчетную дату на основании статистической отчетности;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2) коэффициент уровня урбанизации (K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J2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J2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1 + УВГ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УВГ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удельный вес сельского населения j-го сельского поселения;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3) коэффициент удаленности населенных пунктов сельского поселения от административного центра сельского поселения (К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J3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J3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ДС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/ ДС,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ДС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среднее расстояние от населенных пунктов, не являющихся административным центром сельского поселения, до населенного пункта, являющегося административным центром сельского поселения;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ДС - среднее по муниципальному району расстояние от населенных пунктов, не являющихся административными центрами сельского поселения, до населенных пунктов, являющихся административными центрами сельских поселений;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4) коэффициент стоимости коммунальных услуг (К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J4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847850" cy="266700"/>
            <wp:effectExtent l="19050" t="0" r="0" b="0"/>
            <wp:docPr id="91" name="Рисунок 91" descr="base_23721_175222_32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21_175222_32928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504825" cy="285750"/>
            <wp:effectExtent l="19050" t="0" r="0" b="0"/>
            <wp:docPr id="92" name="Рисунок 92" descr="base_23721_175222_32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21_175222_32929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5B">
        <w:rPr>
          <w:rFonts w:ascii="Times New Roman" w:hAnsi="Times New Roman" w:cs="Times New Roman"/>
          <w:sz w:val="24"/>
          <w:szCs w:val="24"/>
        </w:rPr>
        <w:t xml:space="preserve"> - величина регионального стандарта стоимости предоставления жилищно-коммунальных услуг для j-го сельского поселения (в расчете на месяц);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СТ</w:t>
      </w:r>
      <w:r w:rsidRPr="009E2A5B">
        <w:rPr>
          <w:rFonts w:ascii="Times New Roman" w:hAnsi="Times New Roman" w:cs="Times New Roman"/>
          <w:sz w:val="24"/>
          <w:szCs w:val="24"/>
          <w:vertAlign w:val="superscript"/>
        </w:rPr>
        <w:t>ЖКУ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величина регионального стандарта предельной стоимости предоставления жилищно-коммунальных услуг для муниципального района (в расчете на месяц).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По согласованию с главами местных администраций (руководителями исполнительно-распорядительных органов) сельских поселений вместо показателя "величина регионального стандарта предельной стоимости предоставления жилищно-коммунальных услуг" может быть использован иной показатель, характеризующий различия в стоимости коммунальных услуг в поселениях муниципального района;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5) коэффициент уровня потребительских цен (К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J5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J5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СПК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/ СПК,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СПК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стоимость минимального набора продуктов питания для j-го сельского поселения (в среднем с июля отчетного финансового года по июнь текущего финансового года);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СПК - стоимость минимального набора продуктов питания для муниципального района (в среднем с июля отчетного финансового года по июнь текущего финансового </w:t>
      </w:r>
      <w:r w:rsidRPr="009E2A5B">
        <w:rPr>
          <w:rFonts w:ascii="Times New Roman" w:hAnsi="Times New Roman" w:cs="Times New Roman"/>
          <w:sz w:val="24"/>
          <w:szCs w:val="24"/>
        </w:rPr>
        <w:lastRenderedPageBreak/>
        <w:t>года).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По согласованию с главами местных администраций (руководителями исполнительно-распорядительных органов) сельских поселений вместо показателя "стоимость минимального набора продуктов питания" может быть использован иной показатель, характеризующий различия в уровне потребительских цен в поселениях муниципального района;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6) коэффициент возрастной структуры (К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J6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J6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ВС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>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ВС</w:t>
      </w:r>
      <w:proofErr w:type="gramStart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суммарный удельный вес населения младше трудоспособного возраста и старше трудоспособного возраста в составе населения, постоянно проживающего на территории j-го сельского поселения;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5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- суммарный удельный вес населения младше трудоспособного возраста и старше трудоспособного возраста в составе населения, постоянно проживающего на территории муниципального района;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7) коэффициент плотности заселения (К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J7</w:t>
      </w:r>
      <w:r w:rsidRPr="009E2A5B">
        <w:rPr>
          <w:rFonts w:ascii="Times New Roman" w:hAnsi="Times New Roman" w:cs="Times New Roman"/>
          <w:sz w:val="24"/>
          <w:szCs w:val="24"/>
        </w:rPr>
        <w:t>):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>К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J7</w:t>
      </w:r>
      <w:r w:rsidRPr="009E2A5B">
        <w:rPr>
          <w:rFonts w:ascii="Times New Roman" w:hAnsi="Times New Roman" w:cs="Times New Roman"/>
          <w:sz w:val="24"/>
          <w:szCs w:val="24"/>
        </w:rPr>
        <w:t xml:space="preserve"> = (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НПJ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Н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9E2A5B">
        <w:rPr>
          <w:rFonts w:ascii="Times New Roman" w:hAnsi="Times New Roman" w:cs="Times New Roman"/>
          <w:sz w:val="24"/>
          <w:szCs w:val="24"/>
        </w:rPr>
        <w:t>) / (S</w:t>
      </w:r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9E2A5B">
        <w:rPr>
          <w:rFonts w:ascii="Times New Roman" w:hAnsi="Times New Roman" w:cs="Times New Roman"/>
          <w:sz w:val="24"/>
          <w:szCs w:val="24"/>
        </w:rPr>
        <w:t xml:space="preserve"> / Н), где:</w:t>
      </w:r>
    </w:p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91D" w:rsidRPr="009E2A5B" w:rsidRDefault="0095491D" w:rsidP="009549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5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НПJ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площадь населенных пунктов j-го сельского поселения;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A5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9E2A5B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9E2A5B">
        <w:rPr>
          <w:rFonts w:ascii="Times New Roman" w:hAnsi="Times New Roman" w:cs="Times New Roman"/>
          <w:sz w:val="24"/>
          <w:szCs w:val="24"/>
        </w:rPr>
        <w:t xml:space="preserve"> - общая площадь населенных пунктов, находящихся на территории муниципального района.</w:t>
      </w:r>
    </w:p>
    <w:p w:rsidR="0095491D" w:rsidRPr="009E2A5B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A5B">
        <w:rPr>
          <w:rFonts w:ascii="Times New Roman" w:hAnsi="Times New Roman" w:cs="Times New Roman"/>
          <w:sz w:val="24"/>
          <w:szCs w:val="24"/>
        </w:rPr>
        <w:t xml:space="preserve">В случае отсутствия исходных данных, необходимых для расчета коэффициентов удорожания (удешевления) стоимости бюджетных услуг, значение соответствующего коэффициента принимается </w:t>
      </w:r>
      <w:proofErr w:type="gramStart"/>
      <w:r w:rsidRPr="009E2A5B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9E2A5B">
        <w:rPr>
          <w:rFonts w:ascii="Times New Roman" w:hAnsi="Times New Roman" w:cs="Times New Roman"/>
          <w:sz w:val="24"/>
          <w:szCs w:val="24"/>
        </w:rPr>
        <w:t xml:space="preserve"> 1 для каждого сельского поселения муниципального района.</w:t>
      </w:r>
    </w:p>
    <w:p w:rsidR="0095491D" w:rsidRDefault="0095491D" w:rsidP="00954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A5B">
        <w:rPr>
          <w:rFonts w:ascii="Times New Roman" w:hAnsi="Times New Roman" w:cs="Times New Roman"/>
          <w:sz w:val="24"/>
          <w:szCs w:val="24"/>
        </w:rPr>
        <w:t>Перечень видов расходов сельских поселений, а также перечень показателей, характеризующих потребителей бюджетных услуг, и применяемые к ним коэффициенты удорожания (удешевления) приведены в таблице.</w:t>
      </w:r>
    </w:p>
    <w:p w:rsidR="0095491D" w:rsidRPr="009E2A5B" w:rsidRDefault="0095491D" w:rsidP="0095491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E2A5B">
        <w:rPr>
          <w:rFonts w:ascii="Times New Roman" w:hAnsi="Times New Roman" w:cs="Times New Roman"/>
          <w:sz w:val="18"/>
          <w:szCs w:val="18"/>
        </w:rPr>
        <w:t>Таблица</w:t>
      </w: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969"/>
        <w:gridCol w:w="2835"/>
        <w:gridCol w:w="3119"/>
      </w:tblGrid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Вопросы местного значения (вид расхода)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потребителей бюджетных услуг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Применяемый коэффициент удорожания (удешевления)</w:t>
            </w:r>
          </w:p>
        </w:tc>
      </w:tr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в границах поселения </w:t>
            </w:r>
            <w:proofErr w:type="spell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-, тепл</w:t>
            </w:r>
            <w:proofErr w:type="gram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газо</w:t>
            </w:r>
            <w:proofErr w:type="spellEnd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удаленности населенных пунктов (сельского поселения от административного центра сельского поселения; коэффициент уровня урбанизации; коэффициент стоимости коммунальных услуг</w:t>
            </w:r>
            <w:proofErr w:type="gramEnd"/>
          </w:p>
        </w:tc>
      </w:tr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а также </w:t>
            </w:r>
            <w:r w:rsidRPr="009E2A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плотности заселения; коэффициент уровня потребительских цен</w:t>
            </w:r>
          </w:p>
        </w:tc>
      </w:tr>
      <w:tr w:rsidR="0095491D" w:rsidRPr="009E2A5B" w:rsidTr="00B15098">
        <w:trPr>
          <w:trHeight w:val="931"/>
        </w:trPr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дисперсности расселения; коэффициент уровня потребительских цен</w:t>
            </w:r>
          </w:p>
        </w:tc>
      </w:tr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дисперсности расселения; коэффициент уровня потребительских цен</w:t>
            </w:r>
          </w:p>
        </w:tc>
      </w:tr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Организация освещения улиц и установки указателей с названиями улиц и номерами домов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стоимости коммунальных услуг</w:t>
            </w:r>
          </w:p>
        </w:tc>
      </w:tr>
      <w:tr w:rsidR="0095491D" w:rsidRPr="009E2A5B" w:rsidTr="00B15098">
        <w:trPr>
          <w:trHeight w:val="1578"/>
        </w:trPr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в поселении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уровня потребительских цен; коэффициент возрастной структуры</w:t>
            </w:r>
          </w:p>
        </w:tc>
      </w:tr>
      <w:tr w:rsidR="0095491D" w:rsidRPr="009E2A5B" w:rsidTr="00B15098">
        <w:tc>
          <w:tcPr>
            <w:tcW w:w="426" w:type="dxa"/>
          </w:tcPr>
          <w:p w:rsidR="0095491D" w:rsidRPr="009E2A5B" w:rsidRDefault="0095491D" w:rsidP="00AB02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95491D" w:rsidRPr="009E2A5B" w:rsidRDefault="0095491D" w:rsidP="00AB028C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Иные вопросы местного значения поселения</w:t>
            </w:r>
          </w:p>
        </w:tc>
        <w:tc>
          <w:tcPr>
            <w:tcW w:w="2835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постоянно проживающего на территориях  сельских поселений</w:t>
            </w:r>
          </w:p>
        </w:tc>
        <w:tc>
          <w:tcPr>
            <w:tcW w:w="3119" w:type="dxa"/>
          </w:tcPr>
          <w:p w:rsidR="0095491D" w:rsidRPr="009E2A5B" w:rsidRDefault="0095491D" w:rsidP="00AB0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2A5B">
              <w:rPr>
                <w:rFonts w:ascii="Times New Roman" w:hAnsi="Times New Roman" w:cs="Times New Roman"/>
                <w:sz w:val="22"/>
                <w:szCs w:val="22"/>
              </w:rPr>
              <w:t>коэффициент уровня потребительских цен</w:t>
            </w:r>
          </w:p>
        </w:tc>
      </w:tr>
    </w:tbl>
    <w:p w:rsidR="0095491D" w:rsidRPr="009E2A5B" w:rsidRDefault="0095491D" w:rsidP="0095491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5491D" w:rsidRPr="008A0F31" w:rsidRDefault="0095491D" w:rsidP="0095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91D" w:rsidRPr="00DD4EA7" w:rsidRDefault="0095491D" w:rsidP="009549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6797" w:rsidRDefault="00336797"/>
    <w:sectPr w:rsidR="00336797" w:rsidSect="00BF4AC3">
      <w:type w:val="continuous"/>
      <w:pgSz w:w="11906" w:h="16838" w:code="9"/>
      <w:pgMar w:top="1134" w:right="84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491D"/>
    <w:rsid w:val="001849E5"/>
    <w:rsid w:val="00336797"/>
    <w:rsid w:val="00363E41"/>
    <w:rsid w:val="0046093A"/>
    <w:rsid w:val="0053375C"/>
    <w:rsid w:val="005820BD"/>
    <w:rsid w:val="007F3E9F"/>
    <w:rsid w:val="0095491D"/>
    <w:rsid w:val="009E0BFA"/>
    <w:rsid w:val="00A0025F"/>
    <w:rsid w:val="00A7111D"/>
    <w:rsid w:val="00AB028C"/>
    <w:rsid w:val="00B15098"/>
    <w:rsid w:val="00B3519C"/>
    <w:rsid w:val="00BF4AC3"/>
    <w:rsid w:val="00F57C32"/>
    <w:rsid w:val="00F8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B028C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B028C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4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954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54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549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549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954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9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028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02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AB028C"/>
    <w:pPr>
      <w:jc w:val="center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yperlink" Target="consultantplus://offline/ref=94AF1BB790D15E044394F640898D3E0D43F5E9311738C19D929FCB6BCBEE880F70240C8B3CF3759FA52F35061B7B75FCF9ECDC571EAE4829F5K" TargetMode="External"/><Relationship Id="rId21" Type="http://schemas.openxmlformats.org/officeDocument/2006/relationships/image" Target="media/image7.wmf"/><Relationship Id="rId42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47" Type="http://schemas.openxmlformats.org/officeDocument/2006/relationships/hyperlink" Target="consultantplus://offline/ref=94AF1BB790D15E044394F640898D3E0D43F5E9311331C19D929FCB6BCBEE880F6224548739F9629BAE6566424C27F6K" TargetMode="External"/><Relationship Id="rId63" Type="http://schemas.openxmlformats.org/officeDocument/2006/relationships/image" Target="media/image40.wmf"/><Relationship Id="rId68" Type="http://schemas.openxmlformats.org/officeDocument/2006/relationships/image" Target="media/image43.wmf"/><Relationship Id="rId84" Type="http://schemas.openxmlformats.org/officeDocument/2006/relationships/image" Target="media/image55.wmf"/><Relationship Id="rId89" Type="http://schemas.openxmlformats.org/officeDocument/2006/relationships/image" Target="media/image60.wmf"/><Relationship Id="rId112" Type="http://schemas.openxmlformats.org/officeDocument/2006/relationships/image" Target="media/image70.wmf"/><Relationship Id="rId16" Type="http://schemas.openxmlformats.org/officeDocument/2006/relationships/image" Target="media/image2.wmf"/><Relationship Id="rId107" Type="http://schemas.openxmlformats.org/officeDocument/2006/relationships/image" Target="media/image67.wmf"/><Relationship Id="rId11" Type="http://schemas.openxmlformats.org/officeDocument/2006/relationships/hyperlink" Target="consultantplus://offline/ref=94AF1BB790D15E044394E84D9FE1610649FBBF341737C2C3C9CDCD3C94BE8E5A30640ADE69B42997AF727A434E6876F5E52EFDK" TargetMode="External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53" Type="http://schemas.openxmlformats.org/officeDocument/2006/relationships/image" Target="media/image34.wmf"/><Relationship Id="rId58" Type="http://schemas.openxmlformats.org/officeDocument/2006/relationships/hyperlink" Target="consultantplus://offline/ref=94AF1BB790D15E044394F640898D3E0D43F5E6311137C19D929FCB6BCBEE880F6224548739F9629BAE6566424C27F6K" TargetMode="External"/><Relationship Id="rId74" Type="http://schemas.openxmlformats.org/officeDocument/2006/relationships/hyperlink" Target="consultantplus://offline/ref=94AF1BB790D15E044394F640898D3E0D43F5E9311738C19D929FCB6BCBEE880F70240C8B3EF17F93A52F35061B7B75FCF9ECDC571EAE4829F5K" TargetMode="External"/><Relationship Id="rId79" Type="http://schemas.openxmlformats.org/officeDocument/2006/relationships/image" Target="media/image50.wmf"/><Relationship Id="rId102" Type="http://schemas.openxmlformats.org/officeDocument/2006/relationships/image" Target="media/image64.wmf"/><Relationship Id="rId123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5" Type="http://schemas.openxmlformats.org/officeDocument/2006/relationships/hyperlink" Target="consultantplus://offline/ref=94AF1BB790D15E044394E84D9FE1610649FBBF341734C9CACFCFCD3C94BE8E5A30640ADE7BB4719BAE7B64414D7D20A4A3B8D14815B04B950E24936B25FFK" TargetMode="External"/><Relationship Id="rId90" Type="http://schemas.openxmlformats.org/officeDocument/2006/relationships/image" Target="media/image61.wmf"/><Relationship Id="rId95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19" Type="http://schemas.openxmlformats.org/officeDocument/2006/relationships/image" Target="media/image5.wmf"/><Relationship Id="rId14" Type="http://schemas.openxmlformats.org/officeDocument/2006/relationships/hyperlink" Target="consultantplus://offline/ref=94AF1BB790D15E044394F640898D3E0D43F5E9311331C19D929FCB6BCBEE880F6224548739F9629BAE6566424C27F6K" TargetMode="Externa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9.wmf"/><Relationship Id="rId56" Type="http://schemas.openxmlformats.org/officeDocument/2006/relationships/hyperlink" Target="consultantplus://offline/ref=94AF1BB790D15E044394F640898D3E0D43F5E6311137C19D929FCB6BCBEE880F6224548739F9629BAE6566424C27F6K" TargetMode="External"/><Relationship Id="rId64" Type="http://schemas.openxmlformats.org/officeDocument/2006/relationships/image" Target="media/image41.wmf"/><Relationship Id="rId69" Type="http://schemas.openxmlformats.org/officeDocument/2006/relationships/image" Target="media/image44.wmf"/><Relationship Id="rId77" Type="http://schemas.openxmlformats.org/officeDocument/2006/relationships/image" Target="media/image48.wmf"/><Relationship Id="rId100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105" Type="http://schemas.openxmlformats.org/officeDocument/2006/relationships/hyperlink" Target="consultantplus://offline/ref=94AF1BB790D15E044394F640898D3E0D43F5E9311331C19D929FCB6BCBEE880F70240C8F3DF77591FA2A201743777DEBE6EDC24B1CAC24FAK" TargetMode="External"/><Relationship Id="rId113" Type="http://schemas.openxmlformats.org/officeDocument/2006/relationships/hyperlink" Target="consultantplus://offline/ref=94AF1BB790D15E044394F640898D3E0D43F5E6311137C19D929FCB6BCBEE880F6224548739F9629BAE6566424C27F6K" TargetMode="External"/><Relationship Id="rId118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94AF1BB790D15E044394E84D9FE1610649FBBF341734C9CACFCFCD3C94BE8E5A30640ADE7BB4719BAE7B64444F7D20A4A3B8D14815B04B950E24936B25FFK" TargetMode="External"/><Relationship Id="rId51" Type="http://schemas.openxmlformats.org/officeDocument/2006/relationships/image" Target="media/image32.wmf"/><Relationship Id="rId72" Type="http://schemas.openxmlformats.org/officeDocument/2006/relationships/hyperlink" Target="consultantplus://offline/ref=94AF1BB790D15E044394F640898D3E0D43F5E9311738C19D929FCB6BCBEE880F70240C8B3CF3759FA52F35061B7B75FCF9ECDC571EAE4829F5K" TargetMode="External"/><Relationship Id="rId80" Type="http://schemas.openxmlformats.org/officeDocument/2006/relationships/image" Target="media/image51.wmf"/><Relationship Id="rId85" Type="http://schemas.openxmlformats.org/officeDocument/2006/relationships/image" Target="media/image56.wmf"/><Relationship Id="rId93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98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121" Type="http://schemas.openxmlformats.org/officeDocument/2006/relationships/image" Target="media/image75.wmf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4AF1BB790D15E044394E84D9FE1610649FBBF341734C9CACFCFCD3C94BE8E5A30640ADE7BB4719BAE7B64454B7D20A4A3B8D14815B04B950E24936B25FFK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59" Type="http://schemas.openxmlformats.org/officeDocument/2006/relationships/image" Target="media/image37.wmf"/><Relationship Id="rId67" Type="http://schemas.openxmlformats.org/officeDocument/2006/relationships/hyperlink" Target="consultantplus://offline/ref=94AF1BB790D15E044394F640898D3E0D43F5E6311137C19D929FCB6BCBEE880F6224548739F9629BAE6566424C27F6K" TargetMode="External"/><Relationship Id="rId103" Type="http://schemas.openxmlformats.org/officeDocument/2006/relationships/image" Target="media/image65.wmf"/><Relationship Id="rId108" Type="http://schemas.openxmlformats.org/officeDocument/2006/relationships/image" Target="media/image68.wmf"/><Relationship Id="rId116" Type="http://schemas.openxmlformats.org/officeDocument/2006/relationships/hyperlink" Target="consultantplus://offline/ref=94AF1BB790D15E044394F640898D3E0D43F5E9311738C19D929FCB6BCBEE880F70240C8B3EF17F93A52F35061B7B75FCF9ECDC571EAE4829F5K" TargetMode="External"/><Relationship Id="rId124" Type="http://schemas.openxmlformats.org/officeDocument/2006/relationships/image" Target="media/image76.wmf"/><Relationship Id="rId20" Type="http://schemas.openxmlformats.org/officeDocument/2006/relationships/image" Target="media/image6.wmf"/><Relationship Id="rId41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54" Type="http://schemas.openxmlformats.org/officeDocument/2006/relationships/hyperlink" Target="consultantplus://offline/ref=94AF1BB790D15E044394F640898D3E0D43F5E6311137C19D929FCB6BCBEE880F6224548739F9629BAE6566424C27F6K" TargetMode="External"/><Relationship Id="rId62" Type="http://schemas.openxmlformats.org/officeDocument/2006/relationships/image" Target="media/image39.wmf"/><Relationship Id="rId70" Type="http://schemas.openxmlformats.org/officeDocument/2006/relationships/image" Target="media/image45.wmf"/><Relationship Id="rId75" Type="http://schemas.openxmlformats.org/officeDocument/2006/relationships/hyperlink" Target="consultantplus://offline/ref=94AF1BB790D15E044394F640898D3E0D43F5E9311738C19D929FCB6BCBEE880F70240C8B3CF3759FA52F35061B7B75FCF9ECDC571EAE4829F5K" TargetMode="External"/><Relationship Id="rId83" Type="http://schemas.openxmlformats.org/officeDocument/2006/relationships/image" Target="media/image54.wmf"/><Relationship Id="rId88" Type="http://schemas.openxmlformats.org/officeDocument/2006/relationships/image" Target="media/image59.wmf"/><Relationship Id="rId91" Type="http://schemas.openxmlformats.org/officeDocument/2006/relationships/image" Target="media/image62.wmf"/><Relationship Id="rId96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111" Type="http://schemas.openxmlformats.org/officeDocument/2006/relationships/image" Target="media/image69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94AF1BB790D15E044394E84D9FE1610649FBBF341734C9CACFCFCD3C94BE8E5A30640ADE7BB4719BAE7B6447467D20A4A3B8D14815B04B950E24936B25FFK" TargetMode="External"/><Relationship Id="rId15" Type="http://schemas.openxmlformats.org/officeDocument/2006/relationships/hyperlink" Target="consultantplus://offline/ref=94AF1BB790D15E044394F640898D3E0D43F5E9311331C19D929FCB6BCBEE880F6224548739F9629BAE6566424C27F6K" TargetMode="External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0.wmf"/><Relationship Id="rId57" Type="http://schemas.openxmlformats.org/officeDocument/2006/relationships/image" Target="media/image36.wmf"/><Relationship Id="rId106" Type="http://schemas.openxmlformats.org/officeDocument/2006/relationships/image" Target="media/image66.wmf"/><Relationship Id="rId114" Type="http://schemas.openxmlformats.org/officeDocument/2006/relationships/image" Target="media/image71.wmf"/><Relationship Id="rId119" Type="http://schemas.openxmlformats.org/officeDocument/2006/relationships/image" Target="media/image73.wmf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94AF1BB790D15E044394F640898D3E0D43F5E9311331C19D929FCB6BCBEE880F70240C8F39F277CEFF3F314F4F7F6AF4E7F3DE491E2AFEK" TargetMode="External"/><Relationship Id="rId31" Type="http://schemas.openxmlformats.org/officeDocument/2006/relationships/image" Target="media/image17.wmf"/><Relationship Id="rId44" Type="http://schemas.openxmlformats.org/officeDocument/2006/relationships/image" Target="media/image26.wmf"/><Relationship Id="rId52" Type="http://schemas.openxmlformats.org/officeDocument/2006/relationships/image" Target="media/image33.wmf"/><Relationship Id="rId60" Type="http://schemas.openxmlformats.org/officeDocument/2006/relationships/hyperlink" Target="consultantplus://offline/ref=94AF1BB790D15E044394F640898D3E0D43F5E6311137C19D929FCB6BCBEE880F6224548739F9629BAE6566424C27F6K" TargetMode="External"/><Relationship Id="rId65" Type="http://schemas.openxmlformats.org/officeDocument/2006/relationships/hyperlink" Target="consultantplus://offline/ref=94AF1BB790D15E044394F640898D3E0D43F5E6311137C19D929FCB6BCBEE880F6224548739F9629BAE6566424C27F6K" TargetMode="External"/><Relationship Id="rId73" Type="http://schemas.openxmlformats.org/officeDocument/2006/relationships/image" Target="media/image46.wmf"/><Relationship Id="rId78" Type="http://schemas.openxmlformats.org/officeDocument/2006/relationships/image" Target="media/image49.wmf"/><Relationship Id="rId81" Type="http://schemas.openxmlformats.org/officeDocument/2006/relationships/image" Target="media/image52.wmf"/><Relationship Id="rId86" Type="http://schemas.openxmlformats.org/officeDocument/2006/relationships/image" Target="media/image57.wmf"/><Relationship Id="rId94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99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101" Type="http://schemas.openxmlformats.org/officeDocument/2006/relationships/image" Target="media/image63.wmf"/><Relationship Id="rId122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94AF1BB790D15E044394E84D9FE1610649FBBF341734C9CACFCFCD3C94BE8E5A30640ADE7BB4719BAE7B6444497D20A4A3B8D14815B04B950E24936B25FFK" TargetMode="External"/><Relationship Id="rId13" Type="http://schemas.openxmlformats.org/officeDocument/2006/relationships/hyperlink" Target="consultantplus://offline/ref=94AF1BB790D15E044394E84D9FE1610649FBBF341734C9CACFCFCD3C94BE8E5A30640ADE7BB4719BAE7B66424B7D20A4A3B8D14815B04B950E24936B25FFK" TargetMode="External"/><Relationship Id="rId18" Type="http://schemas.openxmlformats.org/officeDocument/2006/relationships/image" Target="media/image4.wmf"/><Relationship Id="rId39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109" Type="http://schemas.openxmlformats.org/officeDocument/2006/relationships/hyperlink" Target="consultantplus://offline/ref=94AF1BB790D15E044394F640898D3E0D43F5E6311137C19D929FCB6BCBEE880F6224548739F9629BAE6566424C27F6K" TargetMode="External"/><Relationship Id="rId34" Type="http://schemas.openxmlformats.org/officeDocument/2006/relationships/image" Target="media/image20.wmf"/><Relationship Id="rId50" Type="http://schemas.openxmlformats.org/officeDocument/2006/relationships/image" Target="media/image31.wmf"/><Relationship Id="rId55" Type="http://schemas.openxmlformats.org/officeDocument/2006/relationships/image" Target="media/image35.wmf"/><Relationship Id="rId76" Type="http://schemas.openxmlformats.org/officeDocument/2006/relationships/image" Target="media/image47.wmf"/><Relationship Id="rId97" Type="http://schemas.openxmlformats.org/officeDocument/2006/relationships/hyperlink" Target="consultantplus://offline/ref=94AF1BB790D15E044394F640898D3E0D43F5E9311331C19D929FCB6BCBEE880F70240C8E39F17B91FA2A201743777DEBE6EDC24B1CAC24FAK" TargetMode="External"/><Relationship Id="rId104" Type="http://schemas.openxmlformats.org/officeDocument/2006/relationships/hyperlink" Target="consultantplus://offline/ref=94AF1BB790D15E044394F640898D3E0D43F5E9311331C19D929FCB6BCBEE880F6224548739F9629BAE6566424C27F6K" TargetMode="External"/><Relationship Id="rId120" Type="http://schemas.openxmlformats.org/officeDocument/2006/relationships/image" Target="media/image74.wmf"/><Relationship Id="rId125" Type="http://schemas.openxmlformats.org/officeDocument/2006/relationships/image" Target="media/image77.wmf"/><Relationship Id="rId7" Type="http://schemas.openxmlformats.org/officeDocument/2006/relationships/hyperlink" Target="consultantplus://offline/ref=94AF1BB790D15E044394E84D9FE1610649FBBF341734C9CACFCFCD3C94BE8E5A30640ADE7BB4719BAE7B64444F7D20A4A3B8D14815B04B950E24936B25FFK" TargetMode="External"/><Relationship Id="rId71" Type="http://schemas.openxmlformats.org/officeDocument/2006/relationships/hyperlink" Target="consultantplus://offline/ref=94AF1BB790D15E044394F640898D3E0D43F5E9311738C19D929FCB6BCBEE880F70240C8B3EF17F93A52F35061B7B75FCF9ECDC571EAE4829F5K" TargetMode="External"/><Relationship Id="rId92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5.wmf"/><Relationship Id="rId24" Type="http://schemas.openxmlformats.org/officeDocument/2006/relationships/image" Target="media/image10.wmf"/><Relationship Id="rId40" Type="http://schemas.openxmlformats.org/officeDocument/2006/relationships/hyperlink" Target="consultantplus://offline/ref=94AF1BB790D15E044394F640898D3E0D43F5E9311331C19D929FCB6BCBEE880F70240C8E38F87891FA2A201743777DEBE6EDC24B1CAC24FAK" TargetMode="External"/><Relationship Id="rId45" Type="http://schemas.openxmlformats.org/officeDocument/2006/relationships/image" Target="media/image27.wmf"/><Relationship Id="rId66" Type="http://schemas.openxmlformats.org/officeDocument/2006/relationships/image" Target="media/image42.wmf"/><Relationship Id="rId87" Type="http://schemas.openxmlformats.org/officeDocument/2006/relationships/image" Target="media/image58.wmf"/><Relationship Id="rId110" Type="http://schemas.openxmlformats.org/officeDocument/2006/relationships/hyperlink" Target="consultantplus://offline/ref=94AF1BB790D15E044394F640898D3E0D43F5E6311137C19D929FCB6BCBEE880F6224548739F9629BAE6566424C27F6K" TargetMode="External"/><Relationship Id="rId115" Type="http://schemas.openxmlformats.org/officeDocument/2006/relationships/image" Target="media/image72.wmf"/><Relationship Id="rId61" Type="http://schemas.openxmlformats.org/officeDocument/2006/relationships/image" Target="media/image38.wmf"/><Relationship Id="rId82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9917</Words>
  <Characters>56532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2020-11-02T10:29:00Z</cp:lastPrinted>
  <dcterms:created xsi:type="dcterms:W3CDTF">2020-10-21T04:56:00Z</dcterms:created>
  <dcterms:modified xsi:type="dcterms:W3CDTF">2020-11-02T10:29:00Z</dcterms:modified>
</cp:coreProperties>
</file>