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58" w:rsidRPr="00816089" w:rsidRDefault="005C7F58" w:rsidP="005C7F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Утверждена постановлением                                          </w:t>
      </w:r>
    </w:p>
    <w:p w:rsidR="005C7F58" w:rsidRDefault="005C7F58" w:rsidP="005C7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5C7F58" w:rsidRDefault="005C7F58" w:rsidP="005C7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FB72D2" w:rsidRPr="002373E4" w:rsidRDefault="002373E4" w:rsidP="00F900EA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373E4">
        <w:rPr>
          <w:rFonts w:ascii="Times New Roman" w:eastAsia="TimesNewRoman" w:hAnsi="Times New Roman"/>
          <w:sz w:val="28"/>
          <w:szCs w:val="28"/>
        </w:rPr>
        <w:t>№ 303   от  «05»  мая   2020г</w:t>
      </w:r>
    </w:p>
    <w:p w:rsidR="00FB72D2" w:rsidRPr="00000C5C" w:rsidRDefault="00FB72D2" w:rsidP="00F900E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B72D2" w:rsidRPr="004F4DBA" w:rsidRDefault="00FB72D2" w:rsidP="004F4DBA">
      <w:pPr>
        <w:jc w:val="center"/>
        <w:rPr>
          <w:b/>
          <w:sz w:val="52"/>
          <w:szCs w:val="52"/>
        </w:rPr>
      </w:pPr>
      <w:r w:rsidRPr="004F4DBA"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  <w:t xml:space="preserve">                           </w:t>
      </w:r>
    </w:p>
    <w:p w:rsidR="00FB72D2" w:rsidRDefault="00FB72D2" w:rsidP="004F4DBA">
      <w:pPr>
        <w:jc w:val="center"/>
        <w:rPr>
          <w:rFonts w:ascii="Times New Roman" w:hAnsi="Times New Roman"/>
          <w:sz w:val="52"/>
          <w:szCs w:val="52"/>
        </w:rPr>
      </w:pPr>
    </w:p>
    <w:p w:rsidR="00FB72D2" w:rsidRDefault="00FB72D2" w:rsidP="004F4DBA">
      <w:pPr>
        <w:jc w:val="center"/>
        <w:rPr>
          <w:rFonts w:ascii="Times New Roman" w:hAnsi="Times New Roman"/>
          <w:sz w:val="52"/>
          <w:szCs w:val="52"/>
        </w:rPr>
      </w:pPr>
    </w:p>
    <w:p w:rsidR="00F52569" w:rsidRDefault="00F52569" w:rsidP="00F52569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FB72D2" w:rsidRDefault="00FB72D2" w:rsidP="004F4DBA">
      <w:pPr>
        <w:jc w:val="center"/>
        <w:rPr>
          <w:rFonts w:ascii="Times New Roman" w:hAnsi="Times New Roman"/>
          <w:sz w:val="52"/>
          <w:szCs w:val="52"/>
        </w:rPr>
      </w:pPr>
    </w:p>
    <w:p w:rsidR="00FB72D2" w:rsidRPr="00F900EA" w:rsidRDefault="00FB72D2" w:rsidP="00F900EA">
      <w:pPr>
        <w:jc w:val="center"/>
        <w:rPr>
          <w:rFonts w:ascii="Times New Roman" w:hAnsi="Times New Roman"/>
          <w:sz w:val="52"/>
          <w:szCs w:val="52"/>
        </w:rPr>
      </w:pPr>
      <w:r w:rsidRPr="00F900EA">
        <w:rPr>
          <w:rFonts w:ascii="Times New Roman" w:hAnsi="Times New Roman"/>
          <w:sz w:val="52"/>
          <w:szCs w:val="52"/>
        </w:rPr>
        <w:t>Муниципальная подпрограмма</w:t>
      </w:r>
    </w:p>
    <w:p w:rsidR="00FB72D2" w:rsidRPr="00F900EA" w:rsidRDefault="00FB72D2" w:rsidP="00F900EA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«Организация библиотечного </w:t>
      </w:r>
      <w:r w:rsidRPr="00F900EA">
        <w:rPr>
          <w:rFonts w:ascii="Times New Roman" w:hAnsi="Times New Roman"/>
          <w:sz w:val="52"/>
          <w:szCs w:val="52"/>
        </w:rPr>
        <w:t>обслуживания населения в Аргаяшском муниципальном районе»</w:t>
      </w:r>
      <w:r w:rsidR="008E30A9">
        <w:rPr>
          <w:rFonts w:ascii="Times New Roman" w:hAnsi="Times New Roman"/>
          <w:sz w:val="52"/>
          <w:szCs w:val="52"/>
        </w:rPr>
        <w:t xml:space="preserve"> </w:t>
      </w:r>
    </w:p>
    <w:p w:rsidR="00FB72D2" w:rsidRPr="004F4DBA" w:rsidRDefault="00FB72D2" w:rsidP="00F900EA">
      <w:pPr>
        <w:jc w:val="center"/>
        <w:rPr>
          <w:rFonts w:ascii="Times New Roman" w:hAnsi="Times New Roman"/>
          <w:sz w:val="52"/>
          <w:szCs w:val="52"/>
        </w:rPr>
      </w:pPr>
    </w:p>
    <w:p w:rsidR="00FB72D2" w:rsidRPr="004F4DBA" w:rsidRDefault="00FB72D2" w:rsidP="00F900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73E4" w:rsidRDefault="002373E4" w:rsidP="00F52569">
      <w:pPr>
        <w:jc w:val="center"/>
        <w:rPr>
          <w:rFonts w:ascii="Times New Roman" w:hAnsi="Times New Roman"/>
          <w:sz w:val="28"/>
          <w:szCs w:val="28"/>
        </w:rPr>
      </w:pPr>
    </w:p>
    <w:p w:rsidR="00FB72D2" w:rsidRPr="004F4DBA" w:rsidRDefault="00FB72D2" w:rsidP="00F52569">
      <w:pPr>
        <w:jc w:val="center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Аргаяш 20</w:t>
      </w:r>
      <w:r w:rsidR="00CF0AAE">
        <w:rPr>
          <w:rFonts w:ascii="Times New Roman" w:hAnsi="Times New Roman"/>
          <w:sz w:val="28"/>
          <w:szCs w:val="28"/>
        </w:rPr>
        <w:t>20</w:t>
      </w:r>
      <w:r w:rsidRPr="004F4DBA">
        <w:rPr>
          <w:rFonts w:ascii="Times New Roman" w:hAnsi="Times New Roman"/>
          <w:sz w:val="28"/>
          <w:szCs w:val="28"/>
        </w:rPr>
        <w:t>г.</w:t>
      </w:r>
    </w:p>
    <w:p w:rsidR="00FB72D2" w:rsidRPr="001C0EDE" w:rsidRDefault="00FB72D2" w:rsidP="005C7F58">
      <w:pPr>
        <w:pStyle w:val="a4"/>
        <w:spacing w:before="0" w:after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1C0EDE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FB72D2" w:rsidRPr="001C0EDE" w:rsidRDefault="00FB72D2" w:rsidP="004F4DBA">
      <w:pPr>
        <w:pStyle w:val="a4"/>
        <w:spacing w:before="0" w:after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1C0EDE">
        <w:rPr>
          <w:bCs/>
          <w:iCs/>
          <w:color w:val="000000"/>
          <w:sz w:val="28"/>
          <w:szCs w:val="28"/>
          <w:shd w:val="clear" w:color="auto" w:fill="FFFFFF"/>
        </w:rPr>
        <w:t>муниципальной подпрограммы</w:t>
      </w:r>
    </w:p>
    <w:p w:rsidR="00FB72D2" w:rsidRPr="001C0EDE" w:rsidRDefault="00FB72D2" w:rsidP="004F4DBA">
      <w:pPr>
        <w:pStyle w:val="a4"/>
        <w:spacing w:before="0" w:after="0"/>
        <w:ind w:firstLine="708"/>
        <w:jc w:val="center"/>
        <w:rPr>
          <w:sz w:val="28"/>
          <w:szCs w:val="28"/>
        </w:rPr>
      </w:pPr>
      <w:r w:rsidRPr="001C0EDE">
        <w:rPr>
          <w:sz w:val="28"/>
          <w:szCs w:val="28"/>
        </w:rPr>
        <w:t>«Организация библиотечного обслуживания населения в Аргаяшском  м</w:t>
      </w:r>
      <w:r w:rsidR="008E30A9" w:rsidRPr="001C0EDE">
        <w:rPr>
          <w:sz w:val="28"/>
          <w:szCs w:val="28"/>
        </w:rPr>
        <w:t>униципальном районе</w:t>
      </w:r>
      <w:r w:rsidRPr="001C0EDE">
        <w:rPr>
          <w:sz w:val="28"/>
          <w:szCs w:val="28"/>
        </w:rPr>
        <w:t>»</w:t>
      </w:r>
    </w:p>
    <w:p w:rsidR="00FB72D2" w:rsidRPr="004F4DBA" w:rsidRDefault="00FB72D2" w:rsidP="004F4DBA">
      <w:pPr>
        <w:pStyle w:val="a4"/>
        <w:spacing w:before="0" w:after="0"/>
        <w:ind w:firstLine="708"/>
        <w:jc w:val="center"/>
        <w:rPr>
          <w:b/>
          <w:sz w:val="28"/>
          <w:szCs w:val="28"/>
        </w:rPr>
      </w:pPr>
    </w:p>
    <w:tbl>
      <w:tblPr>
        <w:tblW w:w="957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B72D2" w:rsidRPr="004F4DBA" w:rsidTr="00FA5B1D">
        <w:trPr>
          <w:trHeight w:val="861"/>
        </w:trPr>
        <w:tc>
          <w:tcPr>
            <w:tcW w:w="4785" w:type="dxa"/>
          </w:tcPr>
          <w:p w:rsidR="00FB72D2" w:rsidRPr="0017386D" w:rsidRDefault="00FB72D2" w:rsidP="00FA5B1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785" w:type="dxa"/>
          </w:tcPr>
          <w:p w:rsidR="00FB72D2" w:rsidRPr="0017386D" w:rsidRDefault="0017386D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FB72D2" w:rsidRPr="004F4DBA" w:rsidTr="00FA5B1D">
        <w:trPr>
          <w:trHeight w:val="861"/>
        </w:trPr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17386D" w:rsidP="0019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</w:tr>
      <w:tr w:rsidR="00FB72D2" w:rsidRPr="004F4DBA" w:rsidTr="00FA5B1D">
        <w:trPr>
          <w:trHeight w:val="861"/>
        </w:trPr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FB72D2" w:rsidP="0019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</w:t>
            </w:r>
            <w:r w:rsidR="008E30A9" w:rsidRPr="0017386D">
              <w:rPr>
                <w:rFonts w:ascii="Times New Roman" w:hAnsi="Times New Roman"/>
                <w:sz w:val="24"/>
                <w:szCs w:val="24"/>
              </w:rPr>
              <w:t>униципальном районе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30A9" w:rsidRPr="0017386D" w:rsidRDefault="008E30A9" w:rsidP="0019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95759D" w:rsidRPr="0017386D" w:rsidRDefault="0095759D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-Модернизация отрасли, учреждений, услуг и технологий работы с посетителями на основе внедрения современных информационных, телекоммуникационных и медийных технологий;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 xml:space="preserve">-Развитие многофункциональности и специализации библиотек в культурно-просветительской работе с населением Аргаяшского </w:t>
            </w:r>
            <w:r w:rsidR="001B3E5A" w:rsidRPr="0017386D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>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-Сохранение историко-культурного наследия, пропаганда краеведческих знаний;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-Развитие дистанционных и нестационарных форм библиотечно-информационного обслуживания населения;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lastRenderedPageBreak/>
              <w:t>-Использование в деятельности библиотек Аргаяшского</w:t>
            </w:r>
            <w:r w:rsidR="001B3E5A" w:rsidRPr="0017386D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района новых информационных технологий;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-Обеспечение безопасности работы муниципальных библиотек;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-Ресурсное и техническое оснащение библиотек, улучшение их материально-технической базы;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-Обеспечение актуализации и сохранности библиотечных фондов;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-Внедрение электронных библиотечно-информационных услуг;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-Расширение номенклатуры библиотечно-информационных услуг на платной основе;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-Формирование библиотечных фондов на различных носителях и предоставление их пользователям;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-Автоматизация библиотек и библиотечных процессов;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-Предоставление доступа населению к Интернет-ресурсам.</w:t>
            </w: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целевые индикаторы и показатели муниципальной подпрограммы</w:t>
            </w: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-Читаемость %;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-Обращаемость %;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-Число пользователей (чел.);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-Количество проведенных информационно-просветительских культурно-досуговых мероприятий (единиц);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-Количество выданных библиотечных справок (единиц)</w:t>
            </w: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Сроки реализации 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этап - 2020г. 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этап - 2021г. 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этап – 2022г.</w:t>
            </w: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785" w:type="dxa"/>
          </w:tcPr>
          <w:p w:rsidR="002C3A0E" w:rsidRPr="00E02D58" w:rsidRDefault="00FB72D2" w:rsidP="002C3A0E">
            <w:pPr>
              <w:pStyle w:val="af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 xml:space="preserve">Общий объем средств, предусмотренных на реализацию </w:t>
            </w:r>
            <w:r w:rsidRPr="00EB271F">
              <w:rPr>
                <w:rFonts w:ascii="Times New Roman" w:hAnsi="Times New Roman"/>
                <w:sz w:val="24"/>
                <w:szCs w:val="24"/>
              </w:rPr>
              <w:t xml:space="preserve">подпрограммы  </w:t>
            </w:r>
            <w:r w:rsidR="00CF0AAE">
              <w:rPr>
                <w:rFonts w:ascii="Times New Roman" w:hAnsi="Times New Roman"/>
                <w:sz w:val="24"/>
                <w:szCs w:val="24"/>
              </w:rPr>
              <w:t>64736,3</w:t>
            </w:r>
            <w:r w:rsidR="00B1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A0E" w:rsidRPr="00E02D58">
              <w:rPr>
                <w:rFonts w:ascii="Times New Roman" w:hAnsi="Times New Roman"/>
                <w:sz w:val="24"/>
                <w:szCs w:val="24"/>
              </w:rPr>
              <w:t>тыс. рублей, в т.ч.:</w:t>
            </w:r>
          </w:p>
          <w:p w:rsidR="002C3A0E" w:rsidRPr="00E02D58" w:rsidRDefault="002C3A0E" w:rsidP="002C3A0E">
            <w:pPr>
              <w:pStyle w:val="af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2D58">
              <w:rPr>
                <w:rFonts w:ascii="Times New Roman" w:hAnsi="Times New Roman"/>
                <w:sz w:val="24"/>
                <w:szCs w:val="24"/>
              </w:rPr>
              <w:t xml:space="preserve">2020 год –  </w:t>
            </w:r>
            <w:r w:rsidR="00CF0AAE">
              <w:rPr>
                <w:rFonts w:ascii="Times New Roman" w:hAnsi="Times New Roman"/>
                <w:sz w:val="24"/>
                <w:szCs w:val="24"/>
              </w:rPr>
              <w:t>21917,0</w:t>
            </w:r>
            <w:r w:rsidRPr="00E02D58">
              <w:rPr>
                <w:rFonts w:ascii="Times New Roman" w:hAnsi="Times New Roman"/>
                <w:sz w:val="24"/>
                <w:szCs w:val="24"/>
              </w:rPr>
              <w:t xml:space="preserve"> тыс. руб;</w:t>
            </w:r>
          </w:p>
          <w:p w:rsidR="002C3A0E" w:rsidRPr="00E02D58" w:rsidRDefault="002C3A0E" w:rsidP="002C3A0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58">
              <w:rPr>
                <w:rFonts w:ascii="Times New Roman" w:hAnsi="Times New Roman"/>
                <w:sz w:val="24"/>
                <w:szCs w:val="24"/>
              </w:rPr>
              <w:t>2021 год –  21397,2  тыс. руб;</w:t>
            </w:r>
          </w:p>
          <w:p w:rsidR="002C3A0E" w:rsidRPr="00E02D58" w:rsidRDefault="002C3A0E" w:rsidP="002C3A0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58">
              <w:rPr>
                <w:rFonts w:ascii="Times New Roman" w:hAnsi="Times New Roman"/>
                <w:sz w:val="24"/>
                <w:szCs w:val="24"/>
              </w:rPr>
              <w:t>2022 год –   21422,1 тыс. руб;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-Создание библиотечно-информационной системы, в том числе: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-Формирование Единого электронного каталога библиотек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-Увеличение общего числа пользователей, в том числе новых пользователей и пользователей особых категорий;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-Увеличение числа посещений;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lastRenderedPageBreak/>
              <w:t>-Увеличение количества книговыдач;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-Укрепление материально-технической базы библиотек;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-Преодоление негативных асоциальных явлений среди несовершеннолетних подростков;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-Пополнение фонда информационных ресурсов   Аргаяшской МЦБС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-Качественное улучшение библиотечно-библиографического обслуживания населения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-Значительное усовершенствование и расширение комплекса информационных услуг для населения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-Модернизация (автоматизация процессов, компьютеризация) библиотек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-Расширение выставочной деятельности;</w:t>
            </w:r>
          </w:p>
        </w:tc>
      </w:tr>
    </w:tbl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4F4DBA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FA5B1D">
        <w:rPr>
          <w:sz w:val="28"/>
          <w:szCs w:val="28"/>
        </w:rPr>
        <w:t>Раздел 1.</w:t>
      </w:r>
      <w:r w:rsidRPr="00FA5B1D">
        <w:rPr>
          <w:bCs/>
          <w:iCs/>
          <w:color w:val="000000"/>
          <w:sz w:val="28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Муниципальное бюджетное учреждение «Централизованная библиотечная система»  состоит из 34 библиотек. Процент охвата населения библиотечным обслуживанием в Аргаяшском</w:t>
      </w:r>
      <w:r w:rsidR="001B3E5A" w:rsidRPr="00A1165D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A1165D">
        <w:rPr>
          <w:rFonts w:ascii="Times New Roman" w:hAnsi="Times New Roman"/>
          <w:sz w:val="28"/>
          <w:szCs w:val="28"/>
        </w:rPr>
        <w:t xml:space="preserve"> составляет 46,4%.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 В соответствии с приоритетами муниципальной культурной политики в Аргаяшском </w:t>
      </w:r>
      <w:r w:rsidR="00A1165D">
        <w:rPr>
          <w:rFonts w:ascii="Times New Roman" w:hAnsi="Times New Roman"/>
          <w:sz w:val="28"/>
          <w:szCs w:val="28"/>
        </w:rPr>
        <w:t xml:space="preserve">муниципальном </w:t>
      </w:r>
      <w:r w:rsidRPr="00A1165D">
        <w:rPr>
          <w:rFonts w:ascii="Times New Roman" w:hAnsi="Times New Roman"/>
          <w:sz w:val="28"/>
          <w:szCs w:val="28"/>
        </w:rPr>
        <w:t>районе удалось сохранить централизованную библиотечную систему.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площадь которых составляет от 12 до </w:t>
      </w:r>
      <w:smartTag w:uri="urn:schemas-microsoft-com:office:smarttags" w:element="metricconverter">
        <w:smartTagPr>
          <w:attr w:name="ProductID" w:val="30 м2"/>
        </w:smartTagPr>
        <w:r w:rsidRPr="00A1165D">
          <w:rPr>
            <w:rFonts w:ascii="Times New Roman" w:hAnsi="Times New Roman"/>
            <w:sz w:val="28"/>
            <w:szCs w:val="28"/>
          </w:rPr>
          <w:t>30 м2</w:t>
        </w:r>
      </w:smartTag>
      <w:r w:rsidRPr="00A1165D">
        <w:rPr>
          <w:rFonts w:ascii="Times New Roman" w:hAnsi="Times New Roman"/>
          <w:sz w:val="28"/>
          <w:szCs w:val="28"/>
        </w:rPr>
        <w:t>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>Услугами библиотек пользуются более 19,0 тыс. жителей района, что составляет 46,4% населения.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 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библиотечном деле района существует немало проблем. Требует укрепления и </w:t>
      </w:r>
      <w:r w:rsidRPr="00A1165D">
        <w:rPr>
          <w:rFonts w:ascii="Times New Roman" w:hAnsi="Times New Roman"/>
          <w:sz w:val="28"/>
          <w:szCs w:val="28"/>
        </w:rPr>
        <w:lastRenderedPageBreak/>
        <w:t xml:space="preserve">модернизации материально-техническая база библиотек. Из 34 библиотек района  всего телефонизировано </w:t>
      </w:r>
      <w:r w:rsidR="00A1165D" w:rsidRPr="00A1165D">
        <w:rPr>
          <w:rFonts w:ascii="Times New Roman" w:hAnsi="Times New Roman"/>
          <w:sz w:val="28"/>
          <w:szCs w:val="28"/>
        </w:rPr>
        <w:t>8</w:t>
      </w:r>
      <w:r w:rsidRPr="00A1165D">
        <w:rPr>
          <w:rFonts w:ascii="Times New Roman" w:hAnsi="Times New Roman"/>
          <w:sz w:val="28"/>
          <w:szCs w:val="28"/>
        </w:rPr>
        <w:t xml:space="preserve"> библиотек. С декабря 2013 года все библиотеки ЦБС имеют компьютерную технику.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   В библиотеках трудится 51 библиотечный работник, 96% из них имеют высшее и среднее специальное образование. Сложность и многозначность приоритетов развития библиотечного дела в Аргаяшском</w:t>
      </w:r>
      <w:r w:rsidR="00EB271F">
        <w:rPr>
          <w:rFonts w:ascii="Times New Roman" w:hAnsi="Times New Roman"/>
          <w:sz w:val="28"/>
          <w:szCs w:val="28"/>
        </w:rPr>
        <w:t xml:space="preserve"> муниципальном </w:t>
      </w:r>
      <w:r w:rsidRPr="00A1165D">
        <w:rPr>
          <w:rFonts w:ascii="Times New Roman" w:hAnsi="Times New Roman"/>
          <w:sz w:val="28"/>
          <w:szCs w:val="28"/>
        </w:rPr>
        <w:t xml:space="preserve">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</w:t>
      </w:r>
      <w:r w:rsidR="001B3E5A" w:rsidRPr="00A1165D">
        <w:rPr>
          <w:rFonts w:ascii="Times New Roman" w:hAnsi="Times New Roman"/>
          <w:sz w:val="28"/>
          <w:szCs w:val="28"/>
        </w:rPr>
        <w:t xml:space="preserve"> </w:t>
      </w:r>
      <w:r w:rsidRPr="00A1165D">
        <w:rPr>
          <w:rFonts w:ascii="Times New Roman" w:hAnsi="Times New Roman"/>
          <w:sz w:val="28"/>
          <w:szCs w:val="28"/>
        </w:rPr>
        <w:t>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культурным благам и творческой деятельности различных категорий населения района.</w:t>
      </w:r>
      <w:r w:rsidRPr="00A1165D">
        <w:rPr>
          <w:rFonts w:ascii="Times New Roman" w:eastAsia="Arial Unicode MS"/>
          <w:sz w:val="28"/>
          <w:szCs w:val="28"/>
        </w:rPr>
        <w:t xml:space="preserve">　</w:t>
      </w:r>
    </w:p>
    <w:p w:rsidR="00FB72D2" w:rsidRDefault="00FB72D2" w:rsidP="00DC46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DC4668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FB72D2" w:rsidRPr="004F4DBA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F4DBA">
        <w:rPr>
          <w:rFonts w:ascii="Times New Roman" w:hAnsi="Times New Roman"/>
          <w:sz w:val="28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FB72D2" w:rsidRPr="004F4DBA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 xml:space="preserve">      Задачи подпрограммы: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-Модернизация отрасли, учреждений, услуг и технологий работы с посетителями на основе внедрения современных информационных, телекоммуникационных и медийных технологий;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-Развитие сети библиотек как основы единого информационного пространства Аргаяшского </w:t>
      </w:r>
      <w:r w:rsidR="00EB271F">
        <w:rPr>
          <w:rFonts w:ascii="Times New Roman" w:hAnsi="Times New Roman"/>
          <w:sz w:val="28"/>
          <w:szCs w:val="28"/>
        </w:rPr>
        <w:t xml:space="preserve">муниципального </w:t>
      </w:r>
      <w:r w:rsidRPr="0095759D">
        <w:rPr>
          <w:rFonts w:ascii="Times New Roman" w:hAnsi="Times New Roman"/>
          <w:sz w:val="28"/>
          <w:szCs w:val="28"/>
        </w:rPr>
        <w:t>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-Развитие многофункциональности и специализации библиотек в культурно-просветительской работе с населением Аргаяшского</w:t>
      </w:r>
      <w:r w:rsidR="00EB271F">
        <w:rPr>
          <w:rFonts w:ascii="Times New Roman" w:hAnsi="Times New Roman"/>
          <w:sz w:val="28"/>
          <w:szCs w:val="28"/>
        </w:rPr>
        <w:t xml:space="preserve"> муниципального</w:t>
      </w:r>
      <w:r w:rsidRPr="0095759D">
        <w:rPr>
          <w:rFonts w:ascii="Times New Roman" w:hAnsi="Times New Roman"/>
          <w:sz w:val="28"/>
          <w:szCs w:val="28"/>
        </w:rPr>
        <w:t xml:space="preserve">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-Сохранение библиотечных фондов, развитие и модернизация библиотечного дела, внедрение новых технологий и форм деятельности;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-Сохранение историко-культурного наследия, пропаганда краеведческих знаний;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-Развитие дистанционных и нестационарных форм библиотечно-информационного обслуживания населения;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-Создание многофункциональных информационных комплексов на базе Центральной библиотеки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-Использование в деятельности ЦБС новых информационных технологий;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-Обеспечение безопасности работы муниципальных библиотек;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Ресурсное и техническое оснащение библиотек, улучшение их материально-технической базы;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-Обеспечение актуализации и сохранности библиотечных фондов;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-Внедрение электронных библиотечно-информационных услуг;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lastRenderedPageBreak/>
        <w:t>-Расширение номенклатуры библиотечно-информационных услуг на платной основе;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-Формирование библиотечных фондов на различных носителях и предоставление их пользователям;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Автоматизация библиотек и библиотечных процессов;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Предоставление доступа населению к Интернет-ресурсам.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5306B3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FB72D2" w:rsidRPr="004F4DBA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eastAsia="Arial Unicode MS" w:hint="eastAsia"/>
          <w:sz w:val="28"/>
          <w:szCs w:val="28"/>
        </w:rPr>
        <w:t xml:space="preserve">　</w:t>
      </w:r>
      <w:r w:rsidRPr="004F4DBA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в 2020-2022 годах. </w:t>
      </w:r>
    </w:p>
    <w:p w:rsidR="0095759D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Подпрограмма реализуется в три этапа: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  <w:lang w:val="en-US"/>
        </w:rPr>
        <w:t>I</w:t>
      </w:r>
      <w:r w:rsidRPr="0095759D">
        <w:rPr>
          <w:rFonts w:ascii="Times New Roman" w:hAnsi="Times New Roman"/>
          <w:sz w:val="28"/>
          <w:szCs w:val="28"/>
        </w:rPr>
        <w:t xml:space="preserve"> этап - 2020г.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  <w:lang w:val="en-US"/>
        </w:rPr>
        <w:t>II</w:t>
      </w:r>
      <w:r w:rsidRPr="0095759D">
        <w:rPr>
          <w:rFonts w:ascii="Times New Roman" w:hAnsi="Times New Roman"/>
          <w:sz w:val="28"/>
          <w:szCs w:val="28"/>
        </w:rPr>
        <w:t xml:space="preserve"> этап - 2021г.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  <w:lang w:val="en-US"/>
        </w:rPr>
        <w:t>III</w:t>
      </w:r>
      <w:r w:rsidRPr="0095759D">
        <w:rPr>
          <w:rFonts w:ascii="Times New Roman" w:hAnsi="Times New Roman"/>
          <w:sz w:val="28"/>
          <w:szCs w:val="28"/>
        </w:rPr>
        <w:t xml:space="preserve"> этап – 2022 г.</w:t>
      </w: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5306B3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4. Ресурсное обеспечение подпрограммы.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за счет средств местного бюджета Аргаяшского муниципального района. </w:t>
      </w:r>
    </w:p>
    <w:p w:rsidR="002C3A0E" w:rsidRPr="002C3A0E" w:rsidRDefault="00FB72D2" w:rsidP="002C3A0E">
      <w:pPr>
        <w:pStyle w:val="af0"/>
        <w:jc w:val="both"/>
        <w:rPr>
          <w:rFonts w:ascii="Times New Roman" w:hAnsi="Times New Roman"/>
          <w:color w:val="FF0000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Общий объем средств на реализацию подпрограммы составляет – </w:t>
      </w:r>
      <w:r w:rsidR="00CF0AAE">
        <w:rPr>
          <w:rFonts w:ascii="Times New Roman" w:hAnsi="Times New Roman"/>
          <w:sz w:val="24"/>
          <w:szCs w:val="24"/>
        </w:rPr>
        <w:t xml:space="preserve">64736,3 </w:t>
      </w:r>
      <w:r w:rsidR="002C3A0E" w:rsidRPr="002C3A0E">
        <w:rPr>
          <w:rFonts w:ascii="Times New Roman" w:hAnsi="Times New Roman"/>
          <w:sz w:val="28"/>
          <w:szCs w:val="28"/>
        </w:rPr>
        <w:t>тыс. рублей, в т.ч.:</w:t>
      </w:r>
    </w:p>
    <w:p w:rsidR="002C3A0E" w:rsidRPr="002C3A0E" w:rsidRDefault="00B77DCC" w:rsidP="002C3A0E">
      <w:pPr>
        <w:pStyle w:val="af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 </w:t>
      </w:r>
      <w:r w:rsidR="00CF0AAE">
        <w:rPr>
          <w:rFonts w:ascii="Times New Roman" w:hAnsi="Times New Roman"/>
          <w:sz w:val="28"/>
          <w:szCs w:val="28"/>
        </w:rPr>
        <w:t>21917,0</w:t>
      </w:r>
      <w:r w:rsidR="002C3A0E" w:rsidRPr="002C3A0E">
        <w:rPr>
          <w:rFonts w:ascii="Times New Roman" w:hAnsi="Times New Roman"/>
          <w:sz w:val="28"/>
          <w:szCs w:val="28"/>
        </w:rPr>
        <w:t xml:space="preserve"> тыс. руб;</w:t>
      </w:r>
    </w:p>
    <w:p w:rsidR="002C3A0E" w:rsidRPr="002C3A0E" w:rsidRDefault="002C3A0E" w:rsidP="002C3A0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C3A0E">
        <w:rPr>
          <w:rFonts w:ascii="Times New Roman" w:hAnsi="Times New Roman"/>
          <w:sz w:val="28"/>
          <w:szCs w:val="28"/>
        </w:rPr>
        <w:t>2021 год –  21397,2  тыс. руб;</w:t>
      </w:r>
    </w:p>
    <w:p w:rsidR="002C3A0E" w:rsidRPr="002C3A0E" w:rsidRDefault="002C3A0E" w:rsidP="002C3A0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C3A0E">
        <w:rPr>
          <w:rFonts w:ascii="Times New Roman" w:hAnsi="Times New Roman"/>
          <w:sz w:val="28"/>
          <w:szCs w:val="28"/>
        </w:rPr>
        <w:t>2022 год –   21422,1 тыс. руб;</w:t>
      </w:r>
    </w:p>
    <w:p w:rsidR="00FB72D2" w:rsidRPr="004F4DBA" w:rsidRDefault="00FB72D2" w:rsidP="002C3A0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 </w:t>
      </w:r>
    </w:p>
    <w:p w:rsidR="00FB72D2" w:rsidRPr="00FA5B1D" w:rsidRDefault="00FB72D2" w:rsidP="005306B3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eastAsia="Arial Unicode MS" w:hAnsi="Times New Roman"/>
          <w:sz w:val="28"/>
          <w:szCs w:val="28"/>
        </w:rPr>
        <w:t>Раздел 5.</w:t>
      </w:r>
      <w:r w:rsidRPr="00FA5B1D">
        <w:rPr>
          <w:rFonts w:ascii="Times New Roman" w:hAnsi="Times New Roman"/>
          <w:sz w:val="28"/>
          <w:szCs w:val="28"/>
        </w:rPr>
        <w:t>Обобщенная характеристика основных мероприятий подпрограммы.</w:t>
      </w:r>
    </w:p>
    <w:p w:rsidR="00FB72D2" w:rsidRPr="0095759D" w:rsidRDefault="00EB271F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B72D2" w:rsidRPr="0095759D">
        <w:rPr>
          <w:rFonts w:ascii="Times New Roman" w:hAnsi="Times New Roman"/>
          <w:sz w:val="28"/>
          <w:szCs w:val="28"/>
        </w:rPr>
        <w:t>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Мероприятия 1. 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Сохранение библиотечных фондов, развитие и модернизация библиотечного дела, внедрение новых технологий и форм деятельности.</w:t>
      </w:r>
    </w:p>
    <w:p w:rsid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Мероприятие 2. 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Превращение общедоступных библиотек в дополнение ко всем их традиционным функциям в качественно новое, современное, информационное и культурно-досуговые центры обслуживания населения.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Мероприятие 3. 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Сохранение историко-культурного наследия, пропаганда краеведческих знаний.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Мероприятие 4. </w:t>
      </w:r>
    </w:p>
    <w:p w:rsidR="00FB72D2" w:rsidRPr="004F4DBA" w:rsidRDefault="00FB72D2" w:rsidP="0095759D">
      <w:pPr>
        <w:pStyle w:val="af0"/>
        <w:jc w:val="both"/>
      </w:pPr>
      <w:r w:rsidRPr="0095759D">
        <w:rPr>
          <w:rFonts w:ascii="Times New Roman" w:hAnsi="Times New Roman"/>
          <w:sz w:val="28"/>
          <w:szCs w:val="28"/>
        </w:rPr>
        <w:lastRenderedPageBreak/>
        <w:t>Комплектование книжных фондов библиотек</w:t>
      </w:r>
      <w:r w:rsidRPr="004F4DBA">
        <w:t>.</w:t>
      </w:r>
    </w:p>
    <w:p w:rsidR="00FB72D2" w:rsidRPr="004F4DBA" w:rsidRDefault="00FB72D2" w:rsidP="004F4DB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B72D2" w:rsidRPr="00FA5B1D" w:rsidRDefault="00FB72D2" w:rsidP="004F4DBA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5B1D">
        <w:rPr>
          <w:rFonts w:ascii="Times New Roman" w:hAnsi="Times New Roman" w:cs="Times New Roman"/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FB72D2" w:rsidRPr="004F4DBA" w:rsidRDefault="00FB72D2" w:rsidP="004F4DBA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71F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1</w:t>
      </w:r>
      <w:r w:rsidRPr="001B3E5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B271F">
        <w:rPr>
          <w:rFonts w:ascii="Times New Roman" w:hAnsi="Times New Roman" w:cs="Times New Roman"/>
          <w:sz w:val="28"/>
          <w:szCs w:val="28"/>
        </w:rPr>
        <w:t>Ответственным</w:t>
      </w:r>
      <w:r w:rsidRPr="004F4DBA">
        <w:rPr>
          <w:rFonts w:ascii="Times New Roman" w:hAnsi="Times New Roman" w:cs="Times New Roman"/>
          <w:sz w:val="28"/>
          <w:szCs w:val="28"/>
        </w:rPr>
        <w:t xml:space="preserve"> исполнителем подпрограммы является </w:t>
      </w:r>
      <w:r w:rsidR="00EB271F" w:rsidRPr="004F4DBA">
        <w:rPr>
          <w:rFonts w:ascii="Times New Roman" w:hAnsi="Times New Roman" w:cs="Times New Roman"/>
          <w:sz w:val="28"/>
          <w:szCs w:val="28"/>
        </w:rPr>
        <w:t>Управление культуры, туризма и молодежной политики Аргаяшского муниципального района.</w:t>
      </w:r>
    </w:p>
    <w:p w:rsidR="00FB72D2" w:rsidRPr="004F4DBA" w:rsidRDefault="00FB72D2" w:rsidP="00EB271F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 xml:space="preserve">Соисполнителем подпрограммы является </w:t>
      </w:r>
      <w:r w:rsidR="00EB271F" w:rsidRPr="004F4DBA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«Централи</w:t>
      </w:r>
      <w:r w:rsidR="00EB271F">
        <w:rPr>
          <w:rFonts w:ascii="Times New Roman" w:hAnsi="Times New Roman" w:cs="Times New Roman"/>
          <w:sz w:val="28"/>
          <w:szCs w:val="28"/>
        </w:rPr>
        <w:t>зованная библиотечная система».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3. Управление культуры, туризма и молодежной политики: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4) проводит оценку эффективности мероприятий, осуществляемых соисполнителем;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5) запрашивает у соисполнителей информацию, необходимую для подготовки годового отчета;</w:t>
      </w:r>
    </w:p>
    <w:p w:rsidR="00FB72D2" w:rsidRPr="004F4DBA" w:rsidRDefault="00FB72D2" w:rsidP="004F4DB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6) подготавливает годовой отчет и представляет его в Комитет экономики Аргаяшского муниципального района;</w:t>
      </w:r>
    </w:p>
    <w:p w:rsidR="00FB72D2" w:rsidRPr="004F4DBA" w:rsidRDefault="00FB72D2" w:rsidP="004F4DB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7)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4. Реализация подпрограммы осуществляется путем предоставления субсидий.</w:t>
      </w:r>
    </w:p>
    <w:p w:rsidR="00FB72D2" w:rsidRPr="004F4DBA" w:rsidRDefault="00FB72D2" w:rsidP="004F4D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4F4DBA">
        <w:rPr>
          <w:rFonts w:ascii="Times New Roman" w:hAnsi="Times New Roman"/>
          <w:sz w:val="28"/>
          <w:szCs w:val="28"/>
        </w:rPr>
        <w:t>Управление культуры, туризма и молодежной политики  организует размещение на своем официальном сайте в сети Интернет годового отчета.</w:t>
      </w:r>
    </w:p>
    <w:p w:rsidR="00FB72D2" w:rsidRPr="00FA5B1D" w:rsidRDefault="00FB72D2" w:rsidP="004F4DB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5B1D">
        <w:rPr>
          <w:rFonts w:ascii="Times New Roman" w:hAnsi="Times New Roman" w:cs="Times New Roman"/>
          <w:sz w:val="28"/>
          <w:szCs w:val="28"/>
        </w:rPr>
        <w:t>Раздел 7. Ожидаемые результаты реализации подпрограммы.</w:t>
      </w:r>
    </w:p>
    <w:p w:rsidR="00FB72D2" w:rsidRPr="00FA5B1D" w:rsidRDefault="00FB72D2" w:rsidP="004F4DB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2D2" w:rsidRPr="0095759D" w:rsidRDefault="00FB72D2" w:rsidP="0095759D">
      <w:pPr>
        <w:pStyle w:val="af0"/>
        <w:rPr>
          <w:rFonts w:ascii="Times New Roman" w:hAnsi="Times New Roman"/>
          <w:sz w:val="28"/>
          <w:szCs w:val="28"/>
          <w:shd w:val="clear" w:color="auto" w:fill="FFFFFF"/>
        </w:rPr>
      </w:pPr>
      <w:r w:rsidRPr="0095759D">
        <w:rPr>
          <w:rFonts w:ascii="Times New Roman" w:hAnsi="Times New Roman"/>
          <w:sz w:val="28"/>
          <w:szCs w:val="28"/>
          <w:shd w:val="clear" w:color="auto" w:fill="FFFFFF"/>
        </w:rPr>
        <w:t>Осуществление программных мероприятий предполагает обеспечение системного воздействия на повышение качества библиотечных услуг, предоставляемых населению, том числе:</w:t>
      </w:r>
      <w:r w:rsidRPr="0095759D">
        <w:rPr>
          <w:rFonts w:ascii="Times New Roman" w:hAnsi="Times New Roman"/>
          <w:sz w:val="28"/>
          <w:szCs w:val="28"/>
        </w:rPr>
        <w:br/>
      </w:r>
      <w:r w:rsidRPr="0095759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-улучшение качества информационно-библиотечных услуг, предоставляемых населению Аргаяшского муниципального района</w:t>
      </w:r>
      <w:r w:rsidRPr="004F4DBA">
        <w:rPr>
          <w:shd w:val="clear" w:color="auto" w:fill="FFFFFF"/>
        </w:rPr>
        <w:t>;</w:t>
      </w:r>
      <w:r w:rsidRPr="004F4DBA">
        <w:br/>
      </w:r>
      <w:r w:rsidRPr="0095759D">
        <w:rPr>
          <w:rFonts w:ascii="Times New Roman" w:hAnsi="Times New Roman"/>
          <w:sz w:val="28"/>
          <w:szCs w:val="28"/>
          <w:shd w:val="clear" w:color="auto" w:fill="FFFFFF"/>
        </w:rPr>
        <w:t>-повышение профессионального уровня библиотечных специалистов с учетом современных требований;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759D">
        <w:rPr>
          <w:rFonts w:ascii="Times New Roman" w:hAnsi="Times New Roman"/>
          <w:sz w:val="28"/>
          <w:szCs w:val="28"/>
        </w:rPr>
        <w:t>-увеличение общего числа пользователей, в том числе новых пользователей и пользователей особых категорий;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увеличение числа посещений;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-увеличение количества книговыдач;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-преодоление негативных асоциальных явлений среди несовершеннолетних подростков;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пополнение фонда информационных ресурсов   Аргаяшской ЦБС;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-качественное улучшение библиотечно-библиографического обслуживания населения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-значительное усовершенствование и расширение комплекса информационных услуг для населения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-модернизация (автоматизация процессов, компьютеризация) библиотек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расширение выставочной деятельности.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72D2" w:rsidRPr="00FA5B1D" w:rsidRDefault="00FB72D2" w:rsidP="00FA5B1D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8. Методика оценки эффективности подпрограммы.</w:t>
      </w:r>
    </w:p>
    <w:p w:rsidR="00FB72D2" w:rsidRPr="004F4DBA" w:rsidRDefault="00FB72D2" w:rsidP="004F4DBA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F4DBA">
        <w:rPr>
          <w:rFonts w:ascii="Times New Roman" w:hAnsi="Times New Roman" w:cs="Times New Roman"/>
          <w:color w:val="000000"/>
          <w:sz w:val="28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FB72D2" w:rsidRPr="005306B3" w:rsidRDefault="00FB72D2" w:rsidP="005306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B3">
        <w:rPr>
          <w:rFonts w:ascii="Times New Roman" w:hAnsi="Times New Roman" w:cs="Times New Roman"/>
          <w:sz w:val="28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</w:p>
    <w:p w:rsidR="00FB72D2" w:rsidRPr="005306B3" w:rsidRDefault="00FB72D2" w:rsidP="005306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FB72D2" w:rsidRDefault="00FB72D2" w:rsidP="0095759D">
      <w:pPr>
        <w:pStyle w:val="3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1</w:t>
      </w:r>
      <w:r>
        <w:rPr>
          <w:color w:val="auto"/>
          <w:sz w:val="28"/>
          <w:szCs w:val="28"/>
        </w:rPr>
        <w:br/>
      </w:r>
    </w:p>
    <w:p w:rsidR="00FB72D2" w:rsidRPr="004C1B88" w:rsidRDefault="00FB72D2" w:rsidP="004C1B88">
      <w:pPr>
        <w:pStyle w:val="3"/>
        <w:jc w:val="center"/>
        <w:rPr>
          <w:color w:val="auto"/>
          <w:sz w:val="28"/>
          <w:szCs w:val="28"/>
        </w:rPr>
      </w:pP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p w:rsidR="00FB72D2" w:rsidRDefault="00FB72D2" w:rsidP="00AA1E4C">
      <w:pPr>
        <w:pStyle w:val="3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64"/>
        <w:gridCol w:w="1312"/>
        <w:gridCol w:w="1312"/>
        <w:gridCol w:w="1315"/>
        <w:gridCol w:w="1314"/>
        <w:gridCol w:w="1314"/>
      </w:tblGrid>
      <w:tr w:rsidR="00FB72D2" w:rsidRPr="0006646C" w:rsidTr="0006646C">
        <w:trPr>
          <w:trHeight w:val="1125"/>
        </w:trPr>
        <w:tc>
          <w:tcPr>
            <w:tcW w:w="540" w:type="dxa"/>
            <w:vMerge w:val="restart"/>
          </w:tcPr>
          <w:p w:rsidR="00FB72D2" w:rsidRPr="0006646C" w:rsidRDefault="00FB72D2" w:rsidP="00AA1E4C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64" w:type="dxa"/>
            <w:vMerge w:val="restart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FB72D2" w:rsidRPr="00AA1E4C" w:rsidRDefault="00FB72D2" w:rsidP="0006646C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255" w:type="dxa"/>
            <w:gridSpan w:val="4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FB72D2" w:rsidRPr="0006646C" w:rsidTr="001475BF">
        <w:trPr>
          <w:trHeight w:val="744"/>
        </w:trPr>
        <w:tc>
          <w:tcPr>
            <w:tcW w:w="540" w:type="dxa"/>
            <w:vMerge/>
          </w:tcPr>
          <w:p w:rsidR="00FB72D2" w:rsidRPr="0006646C" w:rsidRDefault="00FB72D2" w:rsidP="00AA1E4C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B72D2" w:rsidRPr="00AA1E4C" w:rsidRDefault="00FB72D2" w:rsidP="0006646C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2019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2020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2022</w:t>
            </w:r>
          </w:p>
        </w:tc>
      </w:tr>
      <w:tr w:rsidR="00FB72D2" w:rsidRPr="0006646C" w:rsidTr="0006646C">
        <w:tc>
          <w:tcPr>
            <w:tcW w:w="540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B72D2" w:rsidRPr="0006646C" w:rsidRDefault="00FB72D2" w:rsidP="0006646C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</w:tcPr>
          <w:p w:rsidR="00FB72D2" w:rsidRPr="0006646C" w:rsidRDefault="00FB72D2" w:rsidP="00066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</w:tr>
      <w:tr w:rsidR="00FB72D2" w:rsidRPr="0006646C" w:rsidTr="0006646C">
        <w:tc>
          <w:tcPr>
            <w:tcW w:w="540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B72D2" w:rsidRPr="0006646C" w:rsidRDefault="00FB72D2" w:rsidP="0006646C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Обращаемость </w:t>
            </w:r>
          </w:p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312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315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</w:tr>
      <w:tr w:rsidR="00FB72D2" w:rsidRPr="0006646C" w:rsidTr="0006646C">
        <w:tc>
          <w:tcPr>
            <w:tcW w:w="540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B72D2" w:rsidRPr="0006646C" w:rsidRDefault="00FB72D2" w:rsidP="00DB1A98">
            <w:pPr>
              <w:spacing w:line="240" w:lineRule="auto"/>
              <w:ind w:right="-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1312" w:type="dxa"/>
          </w:tcPr>
          <w:p w:rsidR="00FB72D2" w:rsidRPr="0006646C" w:rsidRDefault="00FB72D2" w:rsidP="00DB1A98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312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C44975">
              <w:rPr>
                <w:color w:val="auto"/>
                <w:sz w:val="24"/>
                <w:szCs w:val="24"/>
              </w:rPr>
              <w:t>19050</w:t>
            </w:r>
          </w:p>
        </w:tc>
        <w:tc>
          <w:tcPr>
            <w:tcW w:w="1315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19050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19070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19090</w:t>
            </w:r>
          </w:p>
        </w:tc>
      </w:tr>
      <w:tr w:rsidR="00FB72D2" w:rsidRPr="0006646C" w:rsidTr="005D6B84">
        <w:trPr>
          <w:trHeight w:val="1695"/>
        </w:trPr>
        <w:tc>
          <w:tcPr>
            <w:tcW w:w="540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проведенных информационно-просветительских культурно-досуговых мероприятий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</w:tr>
      <w:tr w:rsidR="00FB72D2" w:rsidRPr="0006646C" w:rsidTr="005D6B84">
        <w:trPr>
          <w:trHeight w:val="510"/>
        </w:trPr>
        <w:tc>
          <w:tcPr>
            <w:tcW w:w="540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B72D2" w:rsidRDefault="00FB72D2" w:rsidP="0006646C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выданных библиотечных справок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B72D2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</w:tr>
    </w:tbl>
    <w:p w:rsidR="00FB72D2" w:rsidRPr="00AA1E4C" w:rsidRDefault="00FB72D2" w:rsidP="00AA1E4C">
      <w:pPr>
        <w:pStyle w:val="3"/>
        <w:jc w:val="center"/>
        <w:rPr>
          <w:color w:val="auto"/>
          <w:sz w:val="28"/>
          <w:szCs w:val="28"/>
        </w:rPr>
      </w:pPr>
    </w:p>
    <w:p w:rsidR="00FB72D2" w:rsidRDefault="00FB72D2" w:rsidP="00AA1E4C">
      <w:pPr>
        <w:pStyle w:val="formattext"/>
        <w:jc w:val="right"/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72D2" w:rsidRDefault="00FB72D2" w:rsidP="00957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B72D2" w:rsidSect="00FA5B1D">
          <w:pgSz w:w="11906" w:h="16838"/>
          <w:pgMar w:top="1134" w:right="686" w:bottom="1134" w:left="1320" w:header="708" w:footer="708" w:gutter="0"/>
          <w:cols w:space="708"/>
          <w:docGrid w:linePitch="360"/>
        </w:sectPr>
      </w:pPr>
    </w:p>
    <w:p w:rsidR="00FB72D2" w:rsidRDefault="00FB72D2" w:rsidP="00015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FB72D2" w:rsidRDefault="00FB72D2" w:rsidP="00F9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7"/>
        <w:gridCol w:w="2641"/>
        <w:gridCol w:w="2310"/>
        <w:gridCol w:w="1559"/>
        <w:gridCol w:w="1980"/>
        <w:gridCol w:w="1356"/>
        <w:gridCol w:w="1357"/>
        <w:gridCol w:w="1351"/>
        <w:gridCol w:w="1575"/>
      </w:tblGrid>
      <w:tr w:rsidR="00FB72D2" w:rsidRPr="00015BA0" w:rsidTr="0003325D">
        <w:tc>
          <w:tcPr>
            <w:tcW w:w="657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1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10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39" w:type="dxa"/>
            <w:gridSpan w:val="4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FB72D2" w:rsidRPr="00015BA0" w:rsidTr="0003325D">
        <w:tc>
          <w:tcPr>
            <w:tcW w:w="657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7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1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75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B72D2" w:rsidRPr="00015BA0" w:rsidTr="0003325D">
        <w:trPr>
          <w:trHeight w:val="684"/>
        </w:trPr>
        <w:tc>
          <w:tcPr>
            <w:tcW w:w="657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</w:tcPr>
          <w:p w:rsidR="00FB72D2" w:rsidRPr="00B77DCC" w:rsidRDefault="00B77DCC" w:rsidP="0003325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7DCC"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310" w:type="dxa"/>
            <w:vMerge w:val="restart"/>
          </w:tcPr>
          <w:p w:rsidR="00FB72D2" w:rsidRPr="0003325D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25D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59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1980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</w:tcPr>
          <w:p w:rsidR="00FB72D2" w:rsidRPr="00B77DCC" w:rsidRDefault="00CF0AAE" w:rsidP="00B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11F7C">
              <w:rPr>
                <w:rFonts w:ascii="Times New Roman" w:hAnsi="Times New Roman"/>
                <w:sz w:val="24"/>
                <w:szCs w:val="24"/>
              </w:rPr>
              <w:t>777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57" w:type="dxa"/>
          </w:tcPr>
          <w:p w:rsidR="00FB72D2" w:rsidRPr="00CA2283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21257,2</w:t>
            </w:r>
            <w:r w:rsidR="00CA2283" w:rsidRPr="00E02D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51" w:type="dxa"/>
          </w:tcPr>
          <w:p w:rsidR="00FB72D2" w:rsidRPr="00015BA0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21282,1</w:t>
            </w:r>
          </w:p>
        </w:tc>
        <w:tc>
          <w:tcPr>
            <w:tcW w:w="1575" w:type="dxa"/>
          </w:tcPr>
          <w:p w:rsidR="00FB72D2" w:rsidRPr="00015BA0" w:rsidRDefault="00B11F7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64316,3</w:t>
            </w:r>
          </w:p>
        </w:tc>
      </w:tr>
      <w:tr w:rsidR="00FB72D2" w:rsidRPr="00015BA0" w:rsidTr="0003325D">
        <w:trPr>
          <w:trHeight w:val="524"/>
        </w:trPr>
        <w:tc>
          <w:tcPr>
            <w:tcW w:w="657" w:type="dxa"/>
            <w:vMerge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B77DCC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rPr>
          <w:trHeight w:val="518"/>
        </w:trPr>
        <w:tc>
          <w:tcPr>
            <w:tcW w:w="657" w:type="dxa"/>
            <w:vMerge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B77DCC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356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:rsidR="00FB72D2" w:rsidRPr="00015BA0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:rsidR="00FB72D2" w:rsidRPr="00B77DCC" w:rsidRDefault="00B77DCC" w:rsidP="0003325D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7DCC">
              <w:rPr>
                <w:rFonts w:ascii="Times New Roman" w:hAnsi="Times New Roman"/>
                <w:bCs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25D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B77DCC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CA2283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</w:t>
            </w:r>
            <w:r w:rsidR="00CA228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CA2283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</w:t>
            </w:r>
            <w:r w:rsidR="00CA228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B77DCC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</w:tr>
      <w:tr w:rsidR="00FB72D2" w:rsidRPr="00015BA0" w:rsidTr="0003325D">
        <w:trPr>
          <w:trHeight w:val="525"/>
        </w:trPr>
        <w:tc>
          <w:tcPr>
            <w:tcW w:w="657" w:type="dxa"/>
            <w:vMerge/>
          </w:tcPr>
          <w:p w:rsidR="00FB72D2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03325D" w:rsidRDefault="00FB72D2" w:rsidP="0003325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015BA0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rPr>
          <w:trHeight w:val="1282"/>
        </w:trPr>
        <w:tc>
          <w:tcPr>
            <w:tcW w:w="657" w:type="dxa"/>
            <w:vMerge/>
          </w:tcPr>
          <w:p w:rsidR="00FB72D2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03325D" w:rsidRDefault="00FB72D2" w:rsidP="0003325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B72D2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015BA0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c>
          <w:tcPr>
            <w:tcW w:w="14786" w:type="dxa"/>
            <w:gridSpan w:val="9"/>
          </w:tcPr>
          <w:p w:rsidR="00FB72D2" w:rsidRPr="00015BA0" w:rsidRDefault="00FB72D2" w:rsidP="00B77D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B11F7C">
              <w:rPr>
                <w:rFonts w:ascii="Times New Roman" w:hAnsi="Times New Roman"/>
                <w:sz w:val="24"/>
                <w:szCs w:val="24"/>
              </w:rPr>
              <w:t>64736,3</w:t>
            </w:r>
          </w:p>
        </w:tc>
      </w:tr>
    </w:tbl>
    <w:p w:rsidR="00FB72D2" w:rsidRDefault="00FB72D2" w:rsidP="00015BA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B72D2" w:rsidSect="005915E6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FB72D2" w:rsidRPr="00251425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72D2" w:rsidRPr="00251425" w:rsidSect="000951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51" w:rsidRDefault="004A0451" w:rsidP="002844A6">
      <w:pPr>
        <w:spacing w:after="0" w:line="240" w:lineRule="auto"/>
      </w:pPr>
      <w:r>
        <w:separator/>
      </w:r>
    </w:p>
  </w:endnote>
  <w:endnote w:type="continuationSeparator" w:id="1">
    <w:p w:rsidR="004A0451" w:rsidRDefault="004A0451" w:rsidP="0028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51" w:rsidRDefault="004A0451" w:rsidP="002844A6">
      <w:pPr>
        <w:spacing w:after="0" w:line="240" w:lineRule="auto"/>
      </w:pPr>
      <w:r>
        <w:separator/>
      </w:r>
    </w:p>
  </w:footnote>
  <w:footnote w:type="continuationSeparator" w:id="1">
    <w:p w:rsidR="004A0451" w:rsidRDefault="004A0451" w:rsidP="0028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EA7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98E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F726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C66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A3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E61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C69B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E3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28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C01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D29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D65329"/>
    <w:multiLevelType w:val="hybridMultilevel"/>
    <w:tmpl w:val="11CC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AA40D5"/>
    <w:multiLevelType w:val="hybridMultilevel"/>
    <w:tmpl w:val="B5FCFE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5DA2671"/>
    <w:multiLevelType w:val="multilevel"/>
    <w:tmpl w:val="F7D0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951127A"/>
    <w:multiLevelType w:val="hybridMultilevel"/>
    <w:tmpl w:val="2084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138D2F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C42026"/>
    <w:multiLevelType w:val="multilevel"/>
    <w:tmpl w:val="307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2E6EC5"/>
    <w:multiLevelType w:val="hybridMultilevel"/>
    <w:tmpl w:val="A8A43F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8045E53"/>
    <w:multiLevelType w:val="multilevel"/>
    <w:tmpl w:val="9FA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F4462B"/>
    <w:multiLevelType w:val="hybridMultilevel"/>
    <w:tmpl w:val="8A48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370C7A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7B1CC6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9715C3"/>
    <w:multiLevelType w:val="hybridMultilevel"/>
    <w:tmpl w:val="37DA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0A116D"/>
    <w:multiLevelType w:val="hybridMultilevel"/>
    <w:tmpl w:val="6C9E73B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6310210E"/>
    <w:multiLevelType w:val="hybridMultilevel"/>
    <w:tmpl w:val="4636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7C38F7"/>
    <w:multiLevelType w:val="multilevel"/>
    <w:tmpl w:val="550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56CED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176D4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9"/>
  </w:num>
  <w:num w:numId="5">
    <w:abstractNumId w:val="26"/>
  </w:num>
  <w:num w:numId="6">
    <w:abstractNumId w:val="15"/>
  </w:num>
  <w:num w:numId="7">
    <w:abstractNumId w:val="17"/>
  </w:num>
  <w:num w:numId="8">
    <w:abstractNumId w:val="24"/>
  </w:num>
  <w:num w:numId="9">
    <w:abstractNumId w:val="18"/>
  </w:num>
  <w:num w:numId="10">
    <w:abstractNumId w:val="14"/>
  </w:num>
  <w:num w:numId="11">
    <w:abstractNumId w:val="11"/>
  </w:num>
  <w:num w:numId="12">
    <w:abstractNumId w:val="21"/>
  </w:num>
  <w:num w:numId="13">
    <w:abstractNumId w:val="23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7"/>
  </w:num>
  <w:num w:numId="26">
    <w:abstractNumId w:val="10"/>
  </w:num>
  <w:num w:numId="27">
    <w:abstractNumId w:val="16"/>
  </w:num>
  <w:num w:numId="28">
    <w:abstractNumId w:val="2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7F8"/>
    <w:rsid w:val="00000C5C"/>
    <w:rsid w:val="00003315"/>
    <w:rsid w:val="00003EF8"/>
    <w:rsid w:val="00015BA0"/>
    <w:rsid w:val="00030F33"/>
    <w:rsid w:val="00031080"/>
    <w:rsid w:val="000330D6"/>
    <w:rsid w:val="0003325D"/>
    <w:rsid w:val="00047735"/>
    <w:rsid w:val="00060C26"/>
    <w:rsid w:val="00063BA3"/>
    <w:rsid w:val="00063E70"/>
    <w:rsid w:val="000659A3"/>
    <w:rsid w:val="0006646C"/>
    <w:rsid w:val="00072D0C"/>
    <w:rsid w:val="000769E1"/>
    <w:rsid w:val="00087FB7"/>
    <w:rsid w:val="00095178"/>
    <w:rsid w:val="000D4D67"/>
    <w:rsid w:val="000E147A"/>
    <w:rsid w:val="000F731A"/>
    <w:rsid w:val="00103D66"/>
    <w:rsid w:val="0010761F"/>
    <w:rsid w:val="00110B4D"/>
    <w:rsid w:val="001112B6"/>
    <w:rsid w:val="00123927"/>
    <w:rsid w:val="00125F8C"/>
    <w:rsid w:val="001278DA"/>
    <w:rsid w:val="00127C38"/>
    <w:rsid w:val="001368EF"/>
    <w:rsid w:val="00144A35"/>
    <w:rsid w:val="001475BF"/>
    <w:rsid w:val="0015768F"/>
    <w:rsid w:val="00157B14"/>
    <w:rsid w:val="0017386D"/>
    <w:rsid w:val="0017426F"/>
    <w:rsid w:val="001777C1"/>
    <w:rsid w:val="001854F2"/>
    <w:rsid w:val="0019312D"/>
    <w:rsid w:val="00197BB0"/>
    <w:rsid w:val="001A0C70"/>
    <w:rsid w:val="001A7C04"/>
    <w:rsid w:val="001A7E27"/>
    <w:rsid w:val="001B3E5A"/>
    <w:rsid w:val="001B5257"/>
    <w:rsid w:val="001B53E9"/>
    <w:rsid w:val="001C0EDE"/>
    <w:rsid w:val="001D7EFF"/>
    <w:rsid w:val="0020033C"/>
    <w:rsid w:val="0020276C"/>
    <w:rsid w:val="00210E44"/>
    <w:rsid w:val="00211135"/>
    <w:rsid w:val="00212D42"/>
    <w:rsid w:val="002270FD"/>
    <w:rsid w:val="00227E48"/>
    <w:rsid w:val="00232F8C"/>
    <w:rsid w:val="002373E4"/>
    <w:rsid w:val="00246ED1"/>
    <w:rsid w:val="00251425"/>
    <w:rsid w:val="00274D27"/>
    <w:rsid w:val="00276CD4"/>
    <w:rsid w:val="002844A6"/>
    <w:rsid w:val="002C3A0E"/>
    <w:rsid w:val="002C5D98"/>
    <w:rsid w:val="002D7C8D"/>
    <w:rsid w:val="002E2BE2"/>
    <w:rsid w:val="002F47E8"/>
    <w:rsid w:val="002F6D10"/>
    <w:rsid w:val="003232CA"/>
    <w:rsid w:val="00337DEB"/>
    <w:rsid w:val="003405DC"/>
    <w:rsid w:val="0034378F"/>
    <w:rsid w:val="00351A96"/>
    <w:rsid w:val="003604F3"/>
    <w:rsid w:val="0037054D"/>
    <w:rsid w:val="0037361B"/>
    <w:rsid w:val="003824E3"/>
    <w:rsid w:val="0038729C"/>
    <w:rsid w:val="003925A5"/>
    <w:rsid w:val="003A28CF"/>
    <w:rsid w:val="003A6E93"/>
    <w:rsid w:val="003C50B4"/>
    <w:rsid w:val="003C7BC7"/>
    <w:rsid w:val="003D1A80"/>
    <w:rsid w:val="003D3AD3"/>
    <w:rsid w:val="003D6F40"/>
    <w:rsid w:val="003E32E8"/>
    <w:rsid w:val="003F371B"/>
    <w:rsid w:val="003F73B3"/>
    <w:rsid w:val="00423A82"/>
    <w:rsid w:val="004331A3"/>
    <w:rsid w:val="00455A50"/>
    <w:rsid w:val="00455E11"/>
    <w:rsid w:val="00465A3F"/>
    <w:rsid w:val="004754E6"/>
    <w:rsid w:val="00485084"/>
    <w:rsid w:val="00490709"/>
    <w:rsid w:val="004A0451"/>
    <w:rsid w:val="004C1B88"/>
    <w:rsid w:val="004C41F2"/>
    <w:rsid w:val="004C7965"/>
    <w:rsid w:val="004D0DC2"/>
    <w:rsid w:val="004D66C0"/>
    <w:rsid w:val="004E67E2"/>
    <w:rsid w:val="004E7CDB"/>
    <w:rsid w:val="004E7EE2"/>
    <w:rsid w:val="004F1917"/>
    <w:rsid w:val="004F4DBA"/>
    <w:rsid w:val="00503652"/>
    <w:rsid w:val="00503E93"/>
    <w:rsid w:val="00523365"/>
    <w:rsid w:val="00523F2C"/>
    <w:rsid w:val="005306B3"/>
    <w:rsid w:val="00533E95"/>
    <w:rsid w:val="00544CFE"/>
    <w:rsid w:val="00545E53"/>
    <w:rsid w:val="005501E1"/>
    <w:rsid w:val="00560894"/>
    <w:rsid w:val="00563BF0"/>
    <w:rsid w:val="00564292"/>
    <w:rsid w:val="005676B4"/>
    <w:rsid w:val="00575EFC"/>
    <w:rsid w:val="005915E6"/>
    <w:rsid w:val="0059438F"/>
    <w:rsid w:val="005A2044"/>
    <w:rsid w:val="005C2FB9"/>
    <w:rsid w:val="005C5CA3"/>
    <w:rsid w:val="005C73B2"/>
    <w:rsid w:val="005C7F58"/>
    <w:rsid w:val="005D6B84"/>
    <w:rsid w:val="005E67F8"/>
    <w:rsid w:val="00600699"/>
    <w:rsid w:val="00601FD5"/>
    <w:rsid w:val="0060230C"/>
    <w:rsid w:val="006029FC"/>
    <w:rsid w:val="006121F7"/>
    <w:rsid w:val="006137FE"/>
    <w:rsid w:val="006218B5"/>
    <w:rsid w:val="00631E3A"/>
    <w:rsid w:val="006409AD"/>
    <w:rsid w:val="00641062"/>
    <w:rsid w:val="00652703"/>
    <w:rsid w:val="00657262"/>
    <w:rsid w:val="00657F22"/>
    <w:rsid w:val="00681260"/>
    <w:rsid w:val="006902D1"/>
    <w:rsid w:val="006951B9"/>
    <w:rsid w:val="006A28BB"/>
    <w:rsid w:val="006A3F19"/>
    <w:rsid w:val="006B589A"/>
    <w:rsid w:val="006B65FD"/>
    <w:rsid w:val="006C112E"/>
    <w:rsid w:val="006C34F1"/>
    <w:rsid w:val="006C4DAA"/>
    <w:rsid w:val="006D701A"/>
    <w:rsid w:val="006E69B9"/>
    <w:rsid w:val="00701E1C"/>
    <w:rsid w:val="007105FE"/>
    <w:rsid w:val="00710712"/>
    <w:rsid w:val="00722BD5"/>
    <w:rsid w:val="00751C6C"/>
    <w:rsid w:val="00767CCE"/>
    <w:rsid w:val="00773EAF"/>
    <w:rsid w:val="00781B0E"/>
    <w:rsid w:val="00790B7E"/>
    <w:rsid w:val="0079470A"/>
    <w:rsid w:val="00794A88"/>
    <w:rsid w:val="007954C3"/>
    <w:rsid w:val="00795BA1"/>
    <w:rsid w:val="007C209F"/>
    <w:rsid w:val="007C7AA0"/>
    <w:rsid w:val="007D1AFB"/>
    <w:rsid w:val="007D6E44"/>
    <w:rsid w:val="00806146"/>
    <w:rsid w:val="0082275D"/>
    <w:rsid w:val="00832B7E"/>
    <w:rsid w:val="00833606"/>
    <w:rsid w:val="008358D8"/>
    <w:rsid w:val="008450B9"/>
    <w:rsid w:val="00845CCD"/>
    <w:rsid w:val="008554F2"/>
    <w:rsid w:val="008610C2"/>
    <w:rsid w:val="00865FAC"/>
    <w:rsid w:val="00871B85"/>
    <w:rsid w:val="0088131B"/>
    <w:rsid w:val="00883D1E"/>
    <w:rsid w:val="00884612"/>
    <w:rsid w:val="008963A7"/>
    <w:rsid w:val="008B1822"/>
    <w:rsid w:val="008E30A9"/>
    <w:rsid w:val="008E5203"/>
    <w:rsid w:val="0090407A"/>
    <w:rsid w:val="00906EB6"/>
    <w:rsid w:val="00917C07"/>
    <w:rsid w:val="00937B8A"/>
    <w:rsid w:val="00937E07"/>
    <w:rsid w:val="00942748"/>
    <w:rsid w:val="00944673"/>
    <w:rsid w:val="0094743D"/>
    <w:rsid w:val="00947DF7"/>
    <w:rsid w:val="00950EDC"/>
    <w:rsid w:val="009547DB"/>
    <w:rsid w:val="0095759D"/>
    <w:rsid w:val="009649C9"/>
    <w:rsid w:val="009A1081"/>
    <w:rsid w:val="009A29A0"/>
    <w:rsid w:val="009A3515"/>
    <w:rsid w:val="009C335E"/>
    <w:rsid w:val="009D0562"/>
    <w:rsid w:val="009E43E6"/>
    <w:rsid w:val="009F2B29"/>
    <w:rsid w:val="009F3512"/>
    <w:rsid w:val="009F6994"/>
    <w:rsid w:val="00A02FE2"/>
    <w:rsid w:val="00A1165D"/>
    <w:rsid w:val="00A1370A"/>
    <w:rsid w:val="00A17FAF"/>
    <w:rsid w:val="00A20E49"/>
    <w:rsid w:val="00A21902"/>
    <w:rsid w:val="00A22C40"/>
    <w:rsid w:val="00A23192"/>
    <w:rsid w:val="00A24EA4"/>
    <w:rsid w:val="00A2570E"/>
    <w:rsid w:val="00A3560A"/>
    <w:rsid w:val="00A42AE0"/>
    <w:rsid w:val="00A42EFE"/>
    <w:rsid w:val="00A448A5"/>
    <w:rsid w:val="00A45547"/>
    <w:rsid w:val="00A50742"/>
    <w:rsid w:val="00A62F62"/>
    <w:rsid w:val="00A64F2E"/>
    <w:rsid w:val="00A7310E"/>
    <w:rsid w:val="00A7615F"/>
    <w:rsid w:val="00A81D79"/>
    <w:rsid w:val="00A82722"/>
    <w:rsid w:val="00A86A1F"/>
    <w:rsid w:val="00A965D4"/>
    <w:rsid w:val="00A97037"/>
    <w:rsid w:val="00AA05E5"/>
    <w:rsid w:val="00AA1142"/>
    <w:rsid w:val="00AA1E4C"/>
    <w:rsid w:val="00AA6B13"/>
    <w:rsid w:val="00AA7897"/>
    <w:rsid w:val="00AB00E0"/>
    <w:rsid w:val="00AB359F"/>
    <w:rsid w:val="00AB3CFF"/>
    <w:rsid w:val="00AD08F0"/>
    <w:rsid w:val="00B04E39"/>
    <w:rsid w:val="00B11F7C"/>
    <w:rsid w:val="00B1360F"/>
    <w:rsid w:val="00B179F3"/>
    <w:rsid w:val="00B24C86"/>
    <w:rsid w:val="00B3085F"/>
    <w:rsid w:val="00B46F3C"/>
    <w:rsid w:val="00B47F64"/>
    <w:rsid w:val="00B67D96"/>
    <w:rsid w:val="00B77DCC"/>
    <w:rsid w:val="00B807F5"/>
    <w:rsid w:val="00B91125"/>
    <w:rsid w:val="00B934EC"/>
    <w:rsid w:val="00BB2546"/>
    <w:rsid w:val="00BC5D23"/>
    <w:rsid w:val="00BE0F35"/>
    <w:rsid w:val="00BE6B2D"/>
    <w:rsid w:val="00BF241E"/>
    <w:rsid w:val="00C06FF9"/>
    <w:rsid w:val="00C2149C"/>
    <w:rsid w:val="00C223A4"/>
    <w:rsid w:val="00C408A2"/>
    <w:rsid w:val="00C44975"/>
    <w:rsid w:val="00C504E6"/>
    <w:rsid w:val="00C72A3C"/>
    <w:rsid w:val="00C76662"/>
    <w:rsid w:val="00C77729"/>
    <w:rsid w:val="00C82408"/>
    <w:rsid w:val="00C925CA"/>
    <w:rsid w:val="00C968BF"/>
    <w:rsid w:val="00CA2283"/>
    <w:rsid w:val="00CA2C04"/>
    <w:rsid w:val="00CA4B57"/>
    <w:rsid w:val="00CA651E"/>
    <w:rsid w:val="00CA7459"/>
    <w:rsid w:val="00CE30F7"/>
    <w:rsid w:val="00CE5B98"/>
    <w:rsid w:val="00CF0AAE"/>
    <w:rsid w:val="00CF2280"/>
    <w:rsid w:val="00D04BB1"/>
    <w:rsid w:val="00D05DB2"/>
    <w:rsid w:val="00D136FC"/>
    <w:rsid w:val="00D17117"/>
    <w:rsid w:val="00D30F86"/>
    <w:rsid w:val="00D32A09"/>
    <w:rsid w:val="00D40CF7"/>
    <w:rsid w:val="00D53950"/>
    <w:rsid w:val="00D60ACA"/>
    <w:rsid w:val="00D61147"/>
    <w:rsid w:val="00D96E33"/>
    <w:rsid w:val="00DA34ED"/>
    <w:rsid w:val="00DA64BA"/>
    <w:rsid w:val="00DB1A98"/>
    <w:rsid w:val="00DB3BE1"/>
    <w:rsid w:val="00DC181F"/>
    <w:rsid w:val="00DC2D44"/>
    <w:rsid w:val="00DC4668"/>
    <w:rsid w:val="00DC505A"/>
    <w:rsid w:val="00DC53D8"/>
    <w:rsid w:val="00DF16AB"/>
    <w:rsid w:val="00E00143"/>
    <w:rsid w:val="00E129E6"/>
    <w:rsid w:val="00E1463D"/>
    <w:rsid w:val="00E14E3C"/>
    <w:rsid w:val="00E159D5"/>
    <w:rsid w:val="00E20C71"/>
    <w:rsid w:val="00E45128"/>
    <w:rsid w:val="00E47CF9"/>
    <w:rsid w:val="00E47E45"/>
    <w:rsid w:val="00E70083"/>
    <w:rsid w:val="00E70590"/>
    <w:rsid w:val="00E938E8"/>
    <w:rsid w:val="00EA06FC"/>
    <w:rsid w:val="00EA2AC8"/>
    <w:rsid w:val="00EB271F"/>
    <w:rsid w:val="00EC1C3E"/>
    <w:rsid w:val="00EC21D6"/>
    <w:rsid w:val="00EC6A7E"/>
    <w:rsid w:val="00EF2412"/>
    <w:rsid w:val="00F05C15"/>
    <w:rsid w:val="00F325FB"/>
    <w:rsid w:val="00F42414"/>
    <w:rsid w:val="00F52569"/>
    <w:rsid w:val="00F62340"/>
    <w:rsid w:val="00F646BF"/>
    <w:rsid w:val="00F650CE"/>
    <w:rsid w:val="00F724A0"/>
    <w:rsid w:val="00F80F78"/>
    <w:rsid w:val="00F85856"/>
    <w:rsid w:val="00F87219"/>
    <w:rsid w:val="00F874FC"/>
    <w:rsid w:val="00F900EA"/>
    <w:rsid w:val="00F90933"/>
    <w:rsid w:val="00F9577F"/>
    <w:rsid w:val="00FA5B1D"/>
    <w:rsid w:val="00FB72D2"/>
    <w:rsid w:val="00FD028B"/>
    <w:rsid w:val="00FE19B1"/>
    <w:rsid w:val="00FE4D63"/>
    <w:rsid w:val="00FF65FE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50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EA2AC8"/>
    <w:pPr>
      <w:spacing w:before="100" w:beforeAutospacing="1" w:after="0" w:line="240" w:lineRule="auto"/>
      <w:outlineLvl w:val="2"/>
    </w:pPr>
    <w:rPr>
      <w:rFonts w:ascii="Times New Roman" w:eastAsia="Times New Roman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A2AC8"/>
    <w:rPr>
      <w:rFonts w:ascii="Times New Roman" w:hAnsi="Times New Roman" w:cs="Times New Roman"/>
      <w:color w:val="6B4F41"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E67F8"/>
    <w:rPr>
      <w:rFonts w:cs="Times New Roman"/>
      <w:b/>
      <w:bCs/>
    </w:rPr>
  </w:style>
  <w:style w:type="paragraph" w:styleId="a4">
    <w:name w:val="Normal (Web)"/>
    <w:basedOn w:val="a"/>
    <w:uiPriority w:val="99"/>
    <w:rsid w:val="005E67F8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A2C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A2C0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23927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239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9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"/>
    <w:uiPriority w:val="99"/>
    <w:rsid w:val="00D30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t1">
    <w:name w:val="stylet1"/>
    <w:basedOn w:val="a"/>
    <w:uiPriority w:val="99"/>
    <w:rsid w:val="00A42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844A6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844A6"/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rsid w:val="001B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B53E9"/>
    <w:rPr>
      <w:rFonts w:ascii="Segoe U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uiPriority w:val="99"/>
    <w:rsid w:val="009F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rsid w:val="00AA1E4C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F4D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95759D"/>
    <w:rPr>
      <w:lang w:eastAsia="en-US"/>
    </w:rPr>
  </w:style>
  <w:style w:type="paragraph" w:customStyle="1" w:styleId="msonospacing0">
    <w:name w:val="msonospacing"/>
    <w:rsid w:val="00F5256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7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87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61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67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3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399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39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398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16E1-1791-48D6-8FD4-87393D9A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Валиуллина Гузель</cp:lastModifiedBy>
  <cp:revision>18</cp:revision>
  <cp:lastPrinted>2020-02-05T06:53:00Z</cp:lastPrinted>
  <dcterms:created xsi:type="dcterms:W3CDTF">2019-12-24T06:37:00Z</dcterms:created>
  <dcterms:modified xsi:type="dcterms:W3CDTF">2020-05-13T08:27:00Z</dcterms:modified>
</cp:coreProperties>
</file>