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93" w:rsidRPr="00230A55" w:rsidRDefault="00052F93" w:rsidP="00230A55">
      <w:pPr>
        <w:ind w:right="-710" w:firstLine="496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30A55">
        <w:rPr>
          <w:rFonts w:ascii="Times New Roman" w:hAnsi="Times New Roman" w:cs="Times New Roman"/>
          <w:caps/>
          <w:sz w:val="28"/>
          <w:szCs w:val="28"/>
        </w:rPr>
        <w:t>Утвержден</w:t>
      </w:r>
      <w:r>
        <w:rPr>
          <w:rFonts w:ascii="Times New Roman" w:hAnsi="Times New Roman" w:cs="Times New Roman"/>
          <w:caps/>
          <w:sz w:val="28"/>
          <w:szCs w:val="28"/>
        </w:rPr>
        <w:t>О</w:t>
      </w:r>
    </w:p>
    <w:p w:rsidR="00052F93" w:rsidRPr="00230A55" w:rsidRDefault="00052F93" w:rsidP="00230A55">
      <w:pPr>
        <w:ind w:right="-710"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30A5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52F93" w:rsidRPr="00230A55" w:rsidRDefault="00052F93" w:rsidP="00230A55">
      <w:pPr>
        <w:ind w:right="-710"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30A55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052F93" w:rsidRPr="00230A55" w:rsidRDefault="00811544" w:rsidP="00230A55">
      <w:pPr>
        <w:ind w:right="-710" w:firstLine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052F93" w:rsidRPr="00230A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 июня 2018</w:t>
      </w:r>
      <w:r w:rsidR="00052F93" w:rsidRPr="00230A55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709</w:t>
      </w:r>
    </w:p>
    <w:bookmarkEnd w:id="0"/>
    <w:p w:rsidR="00052F93" w:rsidRPr="00230A55" w:rsidRDefault="00052F93">
      <w:pPr>
        <w:pStyle w:val="21"/>
        <w:shd w:val="clear" w:color="auto" w:fill="auto"/>
        <w:rPr>
          <w:rFonts w:cs="Arial Unicode MS"/>
        </w:rPr>
      </w:pPr>
    </w:p>
    <w:p w:rsidR="00052F93" w:rsidRDefault="00052F93">
      <w:pPr>
        <w:pStyle w:val="21"/>
        <w:shd w:val="clear" w:color="auto" w:fill="auto"/>
        <w:rPr>
          <w:rFonts w:cs="Arial Unicode MS"/>
        </w:rPr>
      </w:pPr>
    </w:p>
    <w:p w:rsidR="00052F93" w:rsidRPr="00230A55" w:rsidRDefault="00052F93">
      <w:pPr>
        <w:pStyle w:val="21"/>
        <w:shd w:val="clear" w:color="auto" w:fill="auto"/>
        <w:rPr>
          <w:rFonts w:cs="Arial Unicode MS"/>
        </w:rPr>
      </w:pPr>
    </w:p>
    <w:p w:rsidR="00052F93" w:rsidRPr="001D5E29" w:rsidRDefault="00052F93" w:rsidP="00230A55">
      <w:pPr>
        <w:pStyle w:val="21"/>
        <w:shd w:val="clear" w:color="auto" w:fill="auto"/>
        <w:jc w:val="center"/>
        <w:rPr>
          <w:caps/>
        </w:rPr>
      </w:pPr>
      <w:r w:rsidRPr="001D5E29">
        <w:rPr>
          <w:caps/>
        </w:rPr>
        <w:t>Положение</w:t>
      </w:r>
    </w:p>
    <w:p w:rsidR="00052F93" w:rsidRDefault="00052F93" w:rsidP="00230A55">
      <w:pPr>
        <w:pStyle w:val="21"/>
        <w:shd w:val="clear" w:color="auto" w:fill="auto"/>
        <w:jc w:val="center"/>
        <w:rPr>
          <w:rFonts w:cs="Arial Unicode MS"/>
        </w:rPr>
      </w:pPr>
      <w:r>
        <w:t>о комиссии</w:t>
      </w:r>
      <w:r w:rsidRPr="00123A0E">
        <w:t xml:space="preserve"> по разработке и утверждению схемы размещения </w:t>
      </w:r>
    </w:p>
    <w:p w:rsidR="00052F93" w:rsidRDefault="00052F93" w:rsidP="00230A55">
      <w:pPr>
        <w:pStyle w:val="21"/>
        <w:shd w:val="clear" w:color="auto" w:fill="auto"/>
        <w:jc w:val="center"/>
        <w:rPr>
          <w:rFonts w:cs="Arial Unicode MS"/>
        </w:rPr>
      </w:pPr>
      <w:r w:rsidRPr="00123A0E">
        <w:t xml:space="preserve">нестационарных торговых объектов на землях или земельных участках, </w:t>
      </w:r>
    </w:p>
    <w:p w:rsidR="00052F93" w:rsidRDefault="00052F93" w:rsidP="00230A55">
      <w:pPr>
        <w:pStyle w:val="21"/>
        <w:shd w:val="clear" w:color="auto" w:fill="auto"/>
        <w:jc w:val="center"/>
        <w:rPr>
          <w:rFonts w:cs="Arial Unicode MS"/>
        </w:rPr>
      </w:pPr>
      <w:r w:rsidRPr="00123A0E">
        <w:t xml:space="preserve">в зданиях, строениях, сооружениях, находящихся в </w:t>
      </w:r>
      <w:proofErr w:type="gramStart"/>
      <w:r w:rsidRPr="00123A0E">
        <w:t>государственной</w:t>
      </w:r>
      <w:proofErr w:type="gramEnd"/>
      <w:r w:rsidRPr="00123A0E">
        <w:t xml:space="preserve"> </w:t>
      </w:r>
    </w:p>
    <w:p w:rsidR="00052F93" w:rsidRDefault="00052F93" w:rsidP="00230A55">
      <w:pPr>
        <w:pStyle w:val="21"/>
        <w:shd w:val="clear" w:color="auto" w:fill="auto"/>
        <w:jc w:val="center"/>
        <w:rPr>
          <w:rFonts w:cs="Arial Unicode MS"/>
        </w:rPr>
      </w:pPr>
      <w:r w:rsidRPr="00123A0E">
        <w:t xml:space="preserve">или муниципальной собственности на территории </w:t>
      </w:r>
    </w:p>
    <w:p w:rsidR="00052F93" w:rsidRPr="00123A0E" w:rsidRDefault="00052F93" w:rsidP="00230A55">
      <w:pPr>
        <w:pStyle w:val="21"/>
        <w:shd w:val="clear" w:color="auto" w:fill="auto"/>
        <w:jc w:val="center"/>
      </w:pPr>
      <w:r w:rsidRPr="00123A0E">
        <w:t>Аргаяшского муниципального района</w:t>
      </w:r>
    </w:p>
    <w:p w:rsidR="00052F93" w:rsidRDefault="00052F93" w:rsidP="00230A55">
      <w:pPr>
        <w:pStyle w:val="21"/>
        <w:shd w:val="clear" w:color="auto" w:fill="auto"/>
        <w:jc w:val="center"/>
        <w:rPr>
          <w:rFonts w:cs="Arial Unicode MS"/>
        </w:rPr>
      </w:pPr>
    </w:p>
    <w:p w:rsidR="00052F93" w:rsidRDefault="00052F93" w:rsidP="00D31898">
      <w:pPr>
        <w:pStyle w:val="21"/>
        <w:shd w:val="clear" w:color="auto" w:fill="auto"/>
        <w:jc w:val="center"/>
      </w:pPr>
      <w:r>
        <w:rPr>
          <w:lang w:val="en-US"/>
        </w:rPr>
        <w:t xml:space="preserve">I. </w:t>
      </w:r>
      <w:r>
        <w:t>Общие положения</w:t>
      </w:r>
    </w:p>
    <w:p w:rsidR="00052F93" w:rsidRDefault="00052F93" w:rsidP="00D31898">
      <w:pPr>
        <w:pStyle w:val="21"/>
        <w:shd w:val="clear" w:color="auto" w:fill="auto"/>
        <w:jc w:val="center"/>
      </w:pPr>
    </w:p>
    <w:p w:rsidR="00052F93" w:rsidRDefault="00052F93" w:rsidP="00D31898">
      <w:pPr>
        <w:pStyle w:val="21"/>
        <w:numPr>
          <w:ilvl w:val="0"/>
          <w:numId w:val="1"/>
        </w:numPr>
        <w:shd w:val="clear" w:color="auto" w:fill="auto"/>
        <w:tabs>
          <w:tab w:val="left" w:pos="965"/>
        </w:tabs>
        <w:spacing w:line="317" w:lineRule="exact"/>
        <w:ind w:firstLine="709"/>
        <w:jc w:val="both"/>
      </w:pPr>
      <w:r>
        <w:t>Комиссия по разработке схемы размещения нестационарных торговых объектов на территории Аргаяшского муниципального района (далее - Комиссия) образована в целях:</w:t>
      </w:r>
    </w:p>
    <w:p w:rsidR="00052F93" w:rsidRDefault="00052F93" w:rsidP="00D31898">
      <w:pPr>
        <w:pStyle w:val="21"/>
        <w:numPr>
          <w:ilvl w:val="0"/>
          <w:numId w:val="2"/>
        </w:numPr>
        <w:shd w:val="clear" w:color="auto" w:fill="auto"/>
        <w:tabs>
          <w:tab w:val="left" w:pos="670"/>
        </w:tabs>
        <w:spacing w:line="317" w:lineRule="exact"/>
        <w:ind w:firstLine="709"/>
        <w:jc w:val="both"/>
      </w:pPr>
      <w:r>
        <w:t>разработки схемы размещения нестационарных торговых объектов на территории Аргаяшского муниципального района;</w:t>
      </w:r>
    </w:p>
    <w:p w:rsidR="00052F93" w:rsidRDefault="00052F93" w:rsidP="00D31898">
      <w:pPr>
        <w:pStyle w:val="21"/>
        <w:numPr>
          <w:ilvl w:val="0"/>
          <w:numId w:val="2"/>
        </w:numPr>
        <w:shd w:val="clear" w:color="auto" w:fill="auto"/>
        <w:tabs>
          <w:tab w:val="left" w:pos="663"/>
        </w:tabs>
        <w:spacing w:line="317" w:lineRule="exact"/>
        <w:ind w:firstLine="709"/>
        <w:jc w:val="both"/>
      </w:pPr>
      <w:r>
        <w:t>внесения изменений в схему размещения нестационарных торговых объектов на территории Аргаяшского муниципального района утвержденной Распоряжением Администрации Аргаяшского муниципального района от 28.03.2011 № 390р;</w:t>
      </w:r>
    </w:p>
    <w:p w:rsidR="00052F93" w:rsidRDefault="00052F93" w:rsidP="00D31898">
      <w:pPr>
        <w:pStyle w:val="21"/>
        <w:numPr>
          <w:ilvl w:val="0"/>
          <w:numId w:val="2"/>
        </w:numPr>
        <w:shd w:val="clear" w:color="auto" w:fill="auto"/>
        <w:tabs>
          <w:tab w:val="left" w:pos="677"/>
        </w:tabs>
        <w:spacing w:line="317" w:lineRule="exact"/>
        <w:ind w:firstLine="709"/>
        <w:jc w:val="both"/>
      </w:pPr>
      <w:r>
        <w:t>обеспечения соблюдения прав и законных интересов юридических лиц, индивидуальных предпринимателей, осуществляющих торговую деятельность, деятельность по оказанию бытовых услуг на территории Аргаяшского муниципального района (далее - хозяйствующие субъекты).</w:t>
      </w:r>
    </w:p>
    <w:p w:rsidR="00052F93" w:rsidRDefault="00052F93" w:rsidP="00D31898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17" w:lineRule="exact"/>
        <w:ind w:firstLine="709"/>
        <w:jc w:val="both"/>
      </w:pPr>
      <w:r>
        <w:t>В своей деятельности Комиссия руководствуется следующими нормативными правовыми документами:</w:t>
      </w:r>
    </w:p>
    <w:p w:rsidR="00052F93" w:rsidRDefault="00052F93" w:rsidP="00D31898">
      <w:pPr>
        <w:pStyle w:val="21"/>
        <w:numPr>
          <w:ilvl w:val="0"/>
          <w:numId w:val="3"/>
        </w:numPr>
        <w:shd w:val="clear" w:color="auto" w:fill="auto"/>
        <w:tabs>
          <w:tab w:val="left" w:pos="651"/>
        </w:tabs>
        <w:spacing w:line="317" w:lineRule="exact"/>
        <w:ind w:firstLine="709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52F93" w:rsidRDefault="00052F93" w:rsidP="00D31898">
      <w:pPr>
        <w:pStyle w:val="21"/>
        <w:shd w:val="clear" w:color="auto" w:fill="auto"/>
        <w:tabs>
          <w:tab w:val="left" w:pos="6274"/>
          <w:tab w:val="left" w:pos="6868"/>
        </w:tabs>
        <w:spacing w:line="317" w:lineRule="exact"/>
        <w:ind w:firstLine="709"/>
        <w:jc w:val="both"/>
      </w:pPr>
      <w:r>
        <w:t>- Федеральным законом от 28.12.2009  № 381-ФЗ «Об основах государственного регулирования торговой деятельности в Российской Федерации»;</w:t>
      </w:r>
    </w:p>
    <w:p w:rsidR="00052F93" w:rsidRDefault="00052F93" w:rsidP="0010254A">
      <w:pPr>
        <w:pStyle w:val="21"/>
        <w:shd w:val="clear" w:color="auto" w:fill="auto"/>
        <w:spacing w:line="317" w:lineRule="exact"/>
        <w:ind w:firstLine="709"/>
        <w:jc w:val="both"/>
      </w:pPr>
      <w:r>
        <w:t>- Постановлением Правительства Челябинской области № 682-П от 20.12.2016 «О нормативах минимальной обеспеченности населения площадью торговых объектов для Челябинской области»;</w:t>
      </w:r>
    </w:p>
    <w:p w:rsidR="00052F93" w:rsidRDefault="00052F93" w:rsidP="0010254A">
      <w:pPr>
        <w:pStyle w:val="21"/>
        <w:shd w:val="clear" w:color="auto" w:fill="auto"/>
        <w:spacing w:line="317" w:lineRule="exact"/>
        <w:ind w:firstLine="709"/>
        <w:jc w:val="both"/>
      </w:pPr>
      <w:r>
        <w:t>- Постановлением Правительства Российской Федерации от 29.09.2010 № 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052F93" w:rsidRDefault="00052F93" w:rsidP="0010254A">
      <w:pPr>
        <w:pStyle w:val="21"/>
        <w:shd w:val="clear" w:color="auto" w:fill="auto"/>
        <w:spacing w:line="317" w:lineRule="exact"/>
        <w:ind w:firstLine="709"/>
        <w:jc w:val="both"/>
      </w:pPr>
      <w:r>
        <w:t xml:space="preserve">- Постановлением Правительства Челябинской области № 5-П от </w:t>
      </w:r>
      <w:r>
        <w:lastRenderedPageBreak/>
        <w:t>25.01.2016 «О порядке разработки и утверждения органом местного самоуправления схемы размещения нестационарных торговых объектов на землях или земельных участках, в зданиях, строениях, сооружениях, находящихся в государственной или муниципальной собственности»;</w:t>
      </w:r>
    </w:p>
    <w:p w:rsidR="00052F93" w:rsidRDefault="00052F93" w:rsidP="00D31898">
      <w:pPr>
        <w:pStyle w:val="21"/>
        <w:numPr>
          <w:ilvl w:val="0"/>
          <w:numId w:val="3"/>
        </w:numPr>
        <w:shd w:val="clear" w:color="auto" w:fill="auto"/>
        <w:tabs>
          <w:tab w:val="left" w:pos="718"/>
        </w:tabs>
        <w:spacing w:line="317" w:lineRule="exact"/>
        <w:ind w:firstLine="709"/>
        <w:jc w:val="both"/>
      </w:pPr>
      <w:r>
        <w:t>Уставом Аргаяшского муниципального района;</w:t>
      </w:r>
    </w:p>
    <w:p w:rsidR="00052F93" w:rsidRDefault="00052F93" w:rsidP="00D31898">
      <w:pPr>
        <w:pStyle w:val="21"/>
        <w:numPr>
          <w:ilvl w:val="0"/>
          <w:numId w:val="3"/>
        </w:numPr>
        <w:shd w:val="clear" w:color="auto" w:fill="auto"/>
        <w:tabs>
          <w:tab w:val="left" w:pos="718"/>
        </w:tabs>
        <w:spacing w:line="317" w:lineRule="exact"/>
        <w:ind w:firstLine="709"/>
        <w:jc w:val="both"/>
      </w:pPr>
      <w:r>
        <w:t>настоящим положением.</w:t>
      </w:r>
    </w:p>
    <w:p w:rsidR="00052F93" w:rsidRDefault="00052F93" w:rsidP="00D31898">
      <w:pPr>
        <w:pStyle w:val="21"/>
        <w:shd w:val="clear" w:color="auto" w:fill="auto"/>
        <w:spacing w:line="280" w:lineRule="exact"/>
        <w:ind w:firstLine="709"/>
        <w:jc w:val="both"/>
        <w:rPr>
          <w:rFonts w:cs="Arial Unicode MS"/>
        </w:rPr>
      </w:pPr>
    </w:p>
    <w:p w:rsidR="00052F93" w:rsidRDefault="00052F93" w:rsidP="00D31898">
      <w:pPr>
        <w:pStyle w:val="21"/>
        <w:shd w:val="clear" w:color="auto" w:fill="auto"/>
        <w:spacing w:line="280" w:lineRule="exact"/>
        <w:jc w:val="center"/>
      </w:pPr>
      <w:r>
        <w:rPr>
          <w:lang w:val="en-US"/>
        </w:rPr>
        <w:t>II</w:t>
      </w:r>
      <w:r>
        <w:t>. Задачи и функции Комиссии</w:t>
      </w:r>
    </w:p>
    <w:p w:rsidR="00052F93" w:rsidRDefault="00052F93" w:rsidP="00D31898">
      <w:pPr>
        <w:pStyle w:val="21"/>
        <w:shd w:val="clear" w:color="auto" w:fill="auto"/>
        <w:spacing w:line="280" w:lineRule="exact"/>
        <w:jc w:val="center"/>
      </w:pPr>
    </w:p>
    <w:p w:rsidR="00052F93" w:rsidRDefault="00052F93" w:rsidP="00D31898">
      <w:pPr>
        <w:pStyle w:val="21"/>
        <w:numPr>
          <w:ilvl w:val="0"/>
          <w:numId w:val="4"/>
        </w:numPr>
        <w:shd w:val="clear" w:color="auto" w:fill="auto"/>
        <w:tabs>
          <w:tab w:val="left" w:pos="1104"/>
        </w:tabs>
        <w:ind w:firstLine="709"/>
        <w:jc w:val="both"/>
      </w:pPr>
      <w:r>
        <w:t>Основной задачей Комиссии является создание условий для организованной торговли, оптимизации размещения нестационарных торговых объектов на территории Аргаяшского муниципального района.</w:t>
      </w:r>
    </w:p>
    <w:p w:rsidR="00052F93" w:rsidRDefault="00052F93" w:rsidP="00D31898">
      <w:pPr>
        <w:pStyle w:val="21"/>
        <w:numPr>
          <w:ilvl w:val="0"/>
          <w:numId w:val="4"/>
        </w:numPr>
        <w:shd w:val="clear" w:color="auto" w:fill="auto"/>
        <w:tabs>
          <w:tab w:val="left" w:pos="1104"/>
        </w:tabs>
        <w:ind w:firstLine="709"/>
        <w:jc w:val="both"/>
      </w:pPr>
      <w:r>
        <w:t>Для выполнения возложенных задач Комиссия выполняет следующие функции:</w:t>
      </w:r>
    </w:p>
    <w:p w:rsidR="00052F93" w:rsidRDefault="00052F93" w:rsidP="00D31898">
      <w:pPr>
        <w:pStyle w:val="21"/>
        <w:numPr>
          <w:ilvl w:val="0"/>
          <w:numId w:val="5"/>
        </w:numPr>
        <w:shd w:val="clear" w:color="auto" w:fill="auto"/>
        <w:tabs>
          <w:tab w:val="left" w:pos="1225"/>
        </w:tabs>
        <w:ind w:firstLine="709"/>
        <w:jc w:val="both"/>
      </w:pPr>
      <w:r>
        <w:t>разрабатывает схему размещения нестационарных объектов торговли;</w:t>
      </w:r>
    </w:p>
    <w:p w:rsidR="00052F93" w:rsidRDefault="00052F93" w:rsidP="00D31898">
      <w:pPr>
        <w:pStyle w:val="21"/>
        <w:numPr>
          <w:ilvl w:val="0"/>
          <w:numId w:val="5"/>
        </w:numPr>
        <w:shd w:val="clear" w:color="auto" w:fill="auto"/>
        <w:tabs>
          <w:tab w:val="left" w:pos="1127"/>
        </w:tabs>
        <w:ind w:firstLine="709"/>
        <w:jc w:val="both"/>
      </w:pPr>
      <w:r>
        <w:t>готовит заключения о возможности и целесообразности (либо невозможности и нецелесообразности) включения новых нестационарных торговых объектов в утвержденную схему размещения;</w:t>
      </w:r>
    </w:p>
    <w:p w:rsidR="00052F93" w:rsidRDefault="00052F93" w:rsidP="00D31898">
      <w:pPr>
        <w:pStyle w:val="21"/>
        <w:numPr>
          <w:ilvl w:val="0"/>
          <w:numId w:val="5"/>
        </w:numPr>
        <w:shd w:val="clear" w:color="auto" w:fill="auto"/>
        <w:tabs>
          <w:tab w:val="left" w:pos="3413"/>
        </w:tabs>
        <w:ind w:firstLine="709"/>
        <w:jc w:val="both"/>
      </w:pPr>
      <w:r>
        <w:t xml:space="preserve"> координирует деятельность хозяйствующих субъектов, осуществляющих торговую деятельность на территории Аргаяшского муниципального района;</w:t>
      </w:r>
    </w:p>
    <w:p w:rsidR="00052F93" w:rsidRDefault="00052F93" w:rsidP="00D31898">
      <w:pPr>
        <w:pStyle w:val="21"/>
        <w:numPr>
          <w:ilvl w:val="0"/>
          <w:numId w:val="5"/>
        </w:numPr>
        <w:shd w:val="clear" w:color="auto" w:fill="auto"/>
        <w:tabs>
          <w:tab w:val="left" w:pos="1191"/>
        </w:tabs>
        <w:spacing w:line="317" w:lineRule="exact"/>
        <w:ind w:firstLine="709"/>
        <w:jc w:val="both"/>
      </w:pPr>
      <w:r>
        <w:t>готовит материалы с готовой схемой для публикации на официальном сайте Аргаяшского муниципального района, на сайте министерства экономического развития Челябинской области;</w:t>
      </w:r>
    </w:p>
    <w:p w:rsidR="00052F93" w:rsidRDefault="00052F93" w:rsidP="00D31898">
      <w:pPr>
        <w:pStyle w:val="21"/>
        <w:numPr>
          <w:ilvl w:val="0"/>
          <w:numId w:val="5"/>
        </w:numPr>
        <w:shd w:val="clear" w:color="auto" w:fill="auto"/>
        <w:tabs>
          <w:tab w:val="left" w:pos="1254"/>
        </w:tabs>
        <w:spacing w:line="317" w:lineRule="exact"/>
        <w:ind w:firstLine="709"/>
        <w:jc w:val="both"/>
      </w:pPr>
      <w:r>
        <w:t>готовит материалы для представления районному Собранию депутатов.</w:t>
      </w:r>
    </w:p>
    <w:p w:rsidR="00052F93" w:rsidRDefault="00052F93" w:rsidP="00D31898">
      <w:pPr>
        <w:pStyle w:val="21"/>
        <w:numPr>
          <w:ilvl w:val="0"/>
          <w:numId w:val="4"/>
        </w:numPr>
        <w:shd w:val="clear" w:color="auto" w:fill="auto"/>
        <w:tabs>
          <w:tab w:val="left" w:pos="1007"/>
        </w:tabs>
        <w:spacing w:line="317" w:lineRule="exact"/>
        <w:ind w:firstLine="709"/>
        <w:jc w:val="both"/>
      </w:pPr>
      <w:r>
        <w:t>Для достижения своих целей Комиссия имеет право:</w:t>
      </w:r>
    </w:p>
    <w:p w:rsidR="00052F93" w:rsidRDefault="00052F93" w:rsidP="00D31898">
      <w:pPr>
        <w:pStyle w:val="21"/>
        <w:numPr>
          <w:ilvl w:val="0"/>
          <w:numId w:val="6"/>
        </w:numPr>
        <w:shd w:val="clear" w:color="auto" w:fill="auto"/>
        <w:tabs>
          <w:tab w:val="left" w:pos="793"/>
        </w:tabs>
        <w:spacing w:line="317" w:lineRule="exact"/>
        <w:ind w:firstLine="709"/>
        <w:jc w:val="both"/>
      </w:pPr>
      <w:r>
        <w:t>участвовать в разработке проектов муниципальных правовых актов, регулирующих торговую деятельность и бытовые услуги населению;</w:t>
      </w:r>
    </w:p>
    <w:p w:rsidR="00052F93" w:rsidRDefault="00052F93" w:rsidP="00D31898">
      <w:pPr>
        <w:pStyle w:val="21"/>
        <w:numPr>
          <w:ilvl w:val="0"/>
          <w:numId w:val="6"/>
        </w:numPr>
        <w:shd w:val="clear" w:color="auto" w:fill="auto"/>
        <w:tabs>
          <w:tab w:val="left" w:pos="793"/>
        </w:tabs>
        <w:spacing w:line="317" w:lineRule="exact"/>
        <w:ind w:firstLine="709"/>
        <w:jc w:val="both"/>
      </w:pPr>
      <w:r>
        <w:t>привлекать к работе в рабочей группе по согласованию, не входящих в её состав представителей органов государственной власти, руководителей предприятий, учреждений и организаций, общественных объединений, средств массовой информации;</w:t>
      </w:r>
    </w:p>
    <w:p w:rsidR="00052F93" w:rsidRDefault="00052F93" w:rsidP="00D31898">
      <w:pPr>
        <w:pStyle w:val="21"/>
        <w:numPr>
          <w:ilvl w:val="0"/>
          <w:numId w:val="6"/>
        </w:numPr>
        <w:shd w:val="clear" w:color="auto" w:fill="auto"/>
        <w:spacing w:line="317" w:lineRule="exact"/>
        <w:ind w:firstLine="709"/>
        <w:jc w:val="both"/>
      </w:pPr>
      <w:r>
        <w:t>анализировать эффективность применения мер по созданию условий для хозяйствующих субъектов по обеспечению жителей Аргаяшского муниципального района услугами торговли и бытового обслуживания, для чего вправе приглашать на заседания Комиссии представителей структурных подразделений администрации, запрашивать необходимые документы, материалы и информацию;</w:t>
      </w:r>
    </w:p>
    <w:p w:rsidR="00052F93" w:rsidRDefault="00052F93" w:rsidP="00D31898">
      <w:pPr>
        <w:pStyle w:val="21"/>
        <w:numPr>
          <w:ilvl w:val="0"/>
          <w:numId w:val="6"/>
        </w:numPr>
        <w:shd w:val="clear" w:color="auto" w:fill="auto"/>
        <w:tabs>
          <w:tab w:val="left" w:pos="834"/>
        </w:tabs>
        <w:spacing w:line="317" w:lineRule="exact"/>
        <w:ind w:firstLine="709"/>
        <w:jc w:val="both"/>
      </w:pPr>
      <w:r>
        <w:t>направлять Главе Аргаяшского муниципального района предложения по совершенствованию работы по созданию условий для обеспечения жителей Аргаяшского муниципального района услугами торговли и бытового обслуживания.</w:t>
      </w:r>
    </w:p>
    <w:p w:rsidR="00052F93" w:rsidRDefault="00052F93" w:rsidP="00D31898">
      <w:pPr>
        <w:pStyle w:val="21"/>
        <w:shd w:val="clear" w:color="auto" w:fill="auto"/>
        <w:spacing w:line="280" w:lineRule="exact"/>
        <w:ind w:firstLine="709"/>
        <w:jc w:val="both"/>
        <w:rPr>
          <w:rFonts w:cs="Arial Unicode MS"/>
        </w:rPr>
      </w:pPr>
    </w:p>
    <w:p w:rsidR="00052F93" w:rsidRDefault="00052F93" w:rsidP="00D31898">
      <w:pPr>
        <w:pStyle w:val="21"/>
        <w:shd w:val="clear" w:color="auto" w:fill="auto"/>
        <w:spacing w:line="280" w:lineRule="exact"/>
        <w:ind w:firstLine="709"/>
        <w:jc w:val="both"/>
        <w:rPr>
          <w:rFonts w:cs="Arial Unicode MS"/>
        </w:rPr>
      </w:pPr>
    </w:p>
    <w:p w:rsidR="00052F93" w:rsidRDefault="00052F93" w:rsidP="0010254A">
      <w:pPr>
        <w:pStyle w:val="21"/>
        <w:shd w:val="clear" w:color="auto" w:fill="auto"/>
        <w:spacing w:line="280" w:lineRule="exact"/>
        <w:jc w:val="center"/>
      </w:pPr>
      <w:r>
        <w:rPr>
          <w:lang w:val="en-US"/>
        </w:rPr>
        <w:lastRenderedPageBreak/>
        <w:t>III</w:t>
      </w:r>
      <w:r>
        <w:t xml:space="preserve">. Порядок работы Комиссии </w:t>
      </w:r>
    </w:p>
    <w:p w:rsidR="00052F93" w:rsidRDefault="00052F93" w:rsidP="0010254A">
      <w:pPr>
        <w:pStyle w:val="21"/>
        <w:shd w:val="clear" w:color="auto" w:fill="auto"/>
        <w:spacing w:line="280" w:lineRule="exact"/>
        <w:jc w:val="center"/>
      </w:pP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867"/>
        </w:tabs>
        <w:spacing w:line="317" w:lineRule="exact"/>
        <w:ind w:firstLine="709"/>
        <w:jc w:val="both"/>
      </w:pPr>
      <w:r>
        <w:t>Заседания Комиссии проводятся по мере необходимости, но не реже одного раза в месяц.</w:t>
      </w:r>
    </w:p>
    <w:p w:rsidR="00052F93" w:rsidRDefault="00052F93" w:rsidP="00D31898">
      <w:pPr>
        <w:pStyle w:val="21"/>
        <w:shd w:val="clear" w:color="auto" w:fill="auto"/>
        <w:spacing w:line="317" w:lineRule="exact"/>
        <w:ind w:firstLine="709"/>
        <w:jc w:val="both"/>
      </w:pPr>
      <w:r>
        <w:t>Решение Комиссии оформляется протоколом, который подписывается председательствующим на заседании Комиссии  и секретарем Комиссии.</w:t>
      </w:r>
    </w:p>
    <w:p w:rsidR="00052F93" w:rsidRDefault="00052F93" w:rsidP="00D31898">
      <w:pPr>
        <w:pStyle w:val="21"/>
        <w:shd w:val="clear" w:color="auto" w:fill="auto"/>
        <w:spacing w:line="317" w:lineRule="exact"/>
        <w:ind w:firstLine="709"/>
        <w:jc w:val="both"/>
      </w:pPr>
      <w:r>
        <w:t>Оформление протокола Комиссии осуществляется секретарем Комиссии.</w:t>
      </w: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1104"/>
        </w:tabs>
        <w:spacing w:line="317" w:lineRule="exact"/>
        <w:ind w:firstLine="709"/>
        <w:jc w:val="both"/>
      </w:pPr>
      <w:r>
        <w:t>Заседание Комиссии считается правомочными, если на нем присутствует более половины его членов.</w:t>
      </w: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939"/>
        </w:tabs>
        <w:spacing w:line="317" w:lineRule="exact"/>
        <w:ind w:firstLine="709"/>
        <w:jc w:val="both"/>
      </w:pPr>
      <w:r>
        <w:t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 w:rsidR="00052F93" w:rsidRDefault="00052F93" w:rsidP="0010254A">
      <w:pPr>
        <w:pStyle w:val="21"/>
        <w:shd w:val="clear" w:color="auto" w:fill="auto"/>
        <w:tabs>
          <w:tab w:val="left" w:pos="1203"/>
          <w:tab w:val="left" w:pos="5613"/>
        </w:tabs>
        <w:ind w:firstLine="709"/>
        <w:jc w:val="both"/>
      </w:pPr>
      <w:r>
        <w:t>В случае равенства голосов решающим является голос председательствующего на заседании. При несогласии с принятым решением член Комиссии может письменно изложить свое мнение, которое подлежит обязательному приобщению к протоколу заседания.</w:t>
      </w: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5613"/>
        </w:tabs>
        <w:ind w:firstLine="709"/>
        <w:jc w:val="both"/>
      </w:pPr>
      <w: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составление текстовой части схемы осуществляются отделом земельных отношений комитета по управлению имуществом.</w:t>
      </w: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1390"/>
        </w:tabs>
        <w:ind w:firstLine="709"/>
        <w:jc w:val="both"/>
      </w:pPr>
      <w:r>
        <w:t>Отдел архитектуры и градостроительства несет ответственность за графическую часть схемы размещения нестационарных торговых объектов на территории Аргаяшского муниципального района.</w:t>
      </w:r>
    </w:p>
    <w:p w:rsidR="00052F93" w:rsidRDefault="00052F93" w:rsidP="00D31898">
      <w:pPr>
        <w:pStyle w:val="21"/>
        <w:numPr>
          <w:ilvl w:val="0"/>
          <w:numId w:val="7"/>
        </w:numPr>
        <w:shd w:val="clear" w:color="auto" w:fill="auto"/>
        <w:tabs>
          <w:tab w:val="left" w:pos="922"/>
        </w:tabs>
        <w:ind w:firstLine="709"/>
        <w:jc w:val="both"/>
      </w:pPr>
      <w:r>
        <w:t xml:space="preserve">Комитет по экономике в срок не более десяти рабочих дней со дня утверждения схемы размещения нестационарных торговых объектов на территории Аргаяшского муниципального района или внесения в неё изменений представляет данные в министерство экономического развития Челябинской области, а также информацию о количестве размещенных торговых объектов, используемых субъектами малого и среднего предпринимательства, осуществляющими торговую деятельность, от общего количества размещенных нестационарных торговых объектов </w:t>
      </w:r>
      <w:proofErr w:type="gramStart"/>
      <w:r>
        <w:t xml:space="preserve">( </w:t>
      </w:r>
      <w:proofErr w:type="gramEnd"/>
      <w:r>
        <w:t>в процентах).</w:t>
      </w:r>
    </w:p>
    <w:p w:rsidR="00052F93" w:rsidRDefault="00052F93" w:rsidP="001D5E29">
      <w:pPr>
        <w:pStyle w:val="21"/>
        <w:shd w:val="clear" w:color="auto" w:fill="auto"/>
        <w:jc w:val="both"/>
        <w:rPr>
          <w:rFonts w:cs="Arial Unicode MS"/>
        </w:rPr>
      </w:pPr>
    </w:p>
    <w:p w:rsidR="00052F93" w:rsidRDefault="00052F93" w:rsidP="001D5E29">
      <w:pPr>
        <w:pStyle w:val="21"/>
        <w:shd w:val="clear" w:color="auto" w:fill="auto"/>
        <w:jc w:val="both"/>
        <w:rPr>
          <w:rFonts w:cs="Arial Unicode MS"/>
        </w:rPr>
      </w:pPr>
    </w:p>
    <w:p w:rsidR="00052F93" w:rsidRDefault="00052F93" w:rsidP="001D5E29">
      <w:pPr>
        <w:pStyle w:val="21"/>
        <w:shd w:val="clear" w:color="auto" w:fill="auto"/>
        <w:jc w:val="both"/>
        <w:rPr>
          <w:rFonts w:cs="Arial Unicode MS"/>
        </w:rPr>
      </w:pPr>
    </w:p>
    <w:p w:rsidR="00052F93" w:rsidRDefault="00052F93" w:rsidP="001D5E29">
      <w:pPr>
        <w:pStyle w:val="21"/>
        <w:shd w:val="clear" w:color="auto" w:fill="auto"/>
        <w:jc w:val="both"/>
      </w:pPr>
      <w:r>
        <w:t xml:space="preserve">Председатель Комиссии, заместитель </w:t>
      </w:r>
    </w:p>
    <w:p w:rsidR="00052F93" w:rsidRDefault="00052F93" w:rsidP="001D5E29">
      <w:pPr>
        <w:pStyle w:val="21"/>
        <w:shd w:val="clear" w:color="auto" w:fill="auto"/>
        <w:jc w:val="both"/>
      </w:pPr>
      <w:r>
        <w:t xml:space="preserve">главы по вопросам экономического развития, </w:t>
      </w:r>
    </w:p>
    <w:p w:rsidR="00052F93" w:rsidRDefault="00052F93" w:rsidP="001D5E29">
      <w:pPr>
        <w:pStyle w:val="21"/>
        <w:shd w:val="clear" w:color="auto" w:fill="auto"/>
        <w:spacing w:line="280" w:lineRule="exact"/>
        <w:jc w:val="both"/>
        <w:rPr>
          <w:rFonts w:cs="Arial Unicode MS"/>
        </w:rPr>
      </w:pPr>
      <w:r>
        <w:t>руководитель аппарата</w:t>
      </w:r>
      <w:r w:rsidRPr="001D5E29">
        <w:rPr>
          <w:rStyle w:val="2"/>
        </w:rPr>
        <w:t xml:space="preserve"> </w:t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  <w:rFonts w:cs="Arial Unicode MS"/>
        </w:rPr>
        <w:tab/>
      </w:r>
      <w:r>
        <w:rPr>
          <w:rStyle w:val="2"/>
        </w:rPr>
        <w:t xml:space="preserve">        И.В.  Ишимов</w:t>
      </w:r>
    </w:p>
    <w:p w:rsidR="00052F93" w:rsidRDefault="00052F93" w:rsidP="001D5E29">
      <w:pPr>
        <w:pStyle w:val="21"/>
        <w:shd w:val="clear" w:color="auto" w:fill="auto"/>
        <w:jc w:val="both"/>
        <w:rPr>
          <w:rFonts w:cs="Arial Unicode MS"/>
        </w:rPr>
      </w:pPr>
    </w:p>
    <w:sectPr w:rsidR="00052F93" w:rsidSect="001E4D7A">
      <w:pgSz w:w="11909" w:h="16840"/>
      <w:pgMar w:top="1134" w:right="850" w:bottom="1134" w:left="1701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93" w:rsidRDefault="00052F93" w:rsidP="002D7D4E">
      <w:r>
        <w:separator/>
      </w:r>
    </w:p>
  </w:endnote>
  <w:endnote w:type="continuationSeparator" w:id="0">
    <w:p w:rsidR="00052F93" w:rsidRDefault="00052F93" w:rsidP="002D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93" w:rsidRDefault="00052F93"/>
  </w:footnote>
  <w:footnote w:type="continuationSeparator" w:id="0">
    <w:p w:rsidR="00052F93" w:rsidRDefault="00052F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3D0"/>
    <w:multiLevelType w:val="multilevel"/>
    <w:tmpl w:val="21669712"/>
    <w:lvl w:ilvl="0">
      <w:start w:val="1"/>
      <w:numFmt w:val="decimal"/>
      <w:suff w:val="space"/>
      <w:lvlText w:val="1.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">
    <w:nsid w:val="0D040994"/>
    <w:multiLevelType w:val="multilevel"/>
    <w:tmpl w:val="C05E8656"/>
    <w:lvl w:ilvl="0">
      <w:start w:val="1"/>
      <w:numFmt w:val="decimal"/>
      <w:suff w:val="space"/>
      <w:lvlText w:val="2.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">
    <w:nsid w:val="206C1134"/>
    <w:multiLevelType w:val="multilevel"/>
    <w:tmpl w:val="02EA0D06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3">
    <w:nsid w:val="2E5A7DFD"/>
    <w:multiLevelType w:val="multilevel"/>
    <w:tmpl w:val="4DB45BC2"/>
    <w:lvl w:ilvl="0">
      <w:start w:val="1"/>
      <w:numFmt w:val="decimal"/>
      <w:suff w:val="space"/>
      <w:lvlText w:val="3.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>
    <w:nsid w:val="3B1851CC"/>
    <w:multiLevelType w:val="multilevel"/>
    <w:tmpl w:val="79E6E3CA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5">
    <w:nsid w:val="5F656E41"/>
    <w:multiLevelType w:val="multilevel"/>
    <w:tmpl w:val="89C236FA"/>
    <w:lvl w:ilvl="0">
      <w:start w:val="1"/>
      <w:numFmt w:val="bullet"/>
      <w:suff w:val="space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6">
    <w:nsid w:val="68E2062D"/>
    <w:multiLevelType w:val="multilevel"/>
    <w:tmpl w:val="0E5402F0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D4E"/>
    <w:rsid w:val="00052F93"/>
    <w:rsid w:val="0010254A"/>
    <w:rsid w:val="00123A0E"/>
    <w:rsid w:val="001D5E29"/>
    <w:rsid w:val="001E4D7A"/>
    <w:rsid w:val="00230A55"/>
    <w:rsid w:val="002D7D4E"/>
    <w:rsid w:val="004702EE"/>
    <w:rsid w:val="00811544"/>
    <w:rsid w:val="00833FA1"/>
    <w:rsid w:val="00D31898"/>
    <w:rsid w:val="00F142D0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4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7D4E"/>
    <w:rPr>
      <w:color w:val="auto"/>
      <w:u w:val="single"/>
    </w:rPr>
  </w:style>
  <w:style w:type="character" w:customStyle="1" w:styleId="2">
    <w:name w:val="Основной текст (2)"/>
    <w:basedOn w:val="a0"/>
    <w:uiPriority w:val="99"/>
    <w:rsid w:val="002D7D4E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2D7D4E"/>
    <w:rPr>
      <w:rFonts w:ascii="Times New Roman" w:hAnsi="Times New Roman" w:cs="Times New Roman"/>
      <w:sz w:val="28"/>
      <w:szCs w:val="28"/>
      <w:u w:val="none"/>
    </w:rPr>
  </w:style>
  <w:style w:type="paragraph" w:customStyle="1" w:styleId="21">
    <w:name w:val="Основной текст (2)1"/>
    <w:basedOn w:val="a"/>
    <w:link w:val="20"/>
    <w:uiPriority w:val="99"/>
    <w:rsid w:val="002D7D4E"/>
    <w:pPr>
      <w:shd w:val="clear" w:color="auto" w:fill="FFFFFF"/>
      <w:spacing w:line="324" w:lineRule="exact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rsid w:val="00833F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33FA1"/>
    <w:rPr>
      <w:color w:val="000000"/>
    </w:rPr>
  </w:style>
  <w:style w:type="paragraph" w:styleId="a6">
    <w:name w:val="footer"/>
    <w:basedOn w:val="a"/>
    <w:link w:val="a7"/>
    <w:uiPriority w:val="99"/>
    <w:semiHidden/>
    <w:rsid w:val="00833F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33FA1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11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54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B474-AB26-4F24-AEBF-C5A8674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Плаксина ОА</cp:lastModifiedBy>
  <cp:revision>6</cp:revision>
  <cp:lastPrinted>2018-09-19T04:53:00Z</cp:lastPrinted>
  <dcterms:created xsi:type="dcterms:W3CDTF">2018-06-21T03:47:00Z</dcterms:created>
  <dcterms:modified xsi:type="dcterms:W3CDTF">2018-09-19T04:54:00Z</dcterms:modified>
</cp:coreProperties>
</file>