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1E" w:rsidRPr="0087276A" w:rsidRDefault="0032771E" w:rsidP="003277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87276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71E" w:rsidRDefault="0032771E" w:rsidP="0032771E">
      <w:pPr>
        <w:pStyle w:val="a3"/>
        <w:ind w:firstLine="540"/>
        <w:rPr>
          <w:b/>
          <w:szCs w:val="32"/>
        </w:rPr>
      </w:pPr>
      <w:r w:rsidRPr="0087276A">
        <w:rPr>
          <w:b/>
          <w:szCs w:val="32"/>
        </w:rPr>
        <w:t xml:space="preserve">  ЧЕЛЯБИНСКАЯ ОБЛАСТЬ</w:t>
      </w:r>
    </w:p>
    <w:p w:rsidR="0032771E" w:rsidRPr="00AD5AA5" w:rsidRDefault="0032771E" w:rsidP="0032771E">
      <w:pPr>
        <w:spacing w:line="240" w:lineRule="auto"/>
        <w:rPr>
          <w:lang w:eastAsia="ru-RU"/>
        </w:rPr>
      </w:pPr>
    </w:p>
    <w:p w:rsidR="0032771E" w:rsidRPr="0087276A" w:rsidRDefault="0032771E" w:rsidP="0032771E">
      <w:pPr>
        <w:pStyle w:val="4"/>
        <w:ind w:firstLine="540"/>
        <w:rPr>
          <w:szCs w:val="32"/>
        </w:rPr>
      </w:pPr>
      <w:r w:rsidRPr="0087276A">
        <w:rPr>
          <w:szCs w:val="32"/>
        </w:rPr>
        <w:t>СОБРАНИЕ ДЕПУТАТОВ</w:t>
      </w:r>
    </w:p>
    <w:p w:rsidR="0032771E" w:rsidRDefault="0032771E" w:rsidP="0032771E">
      <w:pPr>
        <w:pStyle w:val="4"/>
        <w:ind w:firstLine="540"/>
        <w:rPr>
          <w:szCs w:val="32"/>
        </w:rPr>
      </w:pPr>
      <w:r w:rsidRPr="0087276A">
        <w:rPr>
          <w:szCs w:val="32"/>
        </w:rPr>
        <w:t>АРГАЯШСКОГО МУНИЦИПАЛЬНОГО РАЙОНА</w:t>
      </w:r>
    </w:p>
    <w:p w:rsidR="0032771E" w:rsidRPr="0087276A" w:rsidRDefault="0032771E" w:rsidP="0032771E">
      <w:pPr>
        <w:spacing w:line="240" w:lineRule="auto"/>
        <w:rPr>
          <w:lang w:eastAsia="ru-RU"/>
        </w:rPr>
      </w:pPr>
    </w:p>
    <w:p w:rsidR="0032771E" w:rsidRPr="0087276A" w:rsidRDefault="0032771E" w:rsidP="0032771E">
      <w:pPr>
        <w:pStyle w:val="3"/>
        <w:ind w:firstLine="540"/>
        <w:rPr>
          <w:b/>
          <w:sz w:val="32"/>
          <w:szCs w:val="32"/>
        </w:rPr>
      </w:pPr>
      <w:r w:rsidRPr="0087276A">
        <w:rPr>
          <w:b/>
          <w:sz w:val="32"/>
          <w:szCs w:val="32"/>
        </w:rPr>
        <w:t>РЕШЕНИЕ</w:t>
      </w:r>
    </w:p>
    <w:p w:rsidR="0032771E" w:rsidRPr="005652A2" w:rsidRDefault="0032771E" w:rsidP="0032771E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305644">
        <w:rPr>
          <w:rFonts w:ascii="Times New Roman" w:hAnsi="Times New Roman" w:cs="Times New Roman"/>
          <w:szCs w:val="20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32771E" w:rsidRPr="005652A2" w:rsidTr="00A22110">
        <w:tc>
          <w:tcPr>
            <w:tcW w:w="4962" w:type="dxa"/>
            <w:shd w:val="clear" w:color="auto" w:fill="auto"/>
          </w:tcPr>
          <w:p w:rsidR="0032771E" w:rsidRPr="005652A2" w:rsidRDefault="0032771E" w:rsidP="00A221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71E" w:rsidRPr="005652A2" w:rsidRDefault="0032771E" w:rsidP="00A22110">
            <w:pPr>
              <w:tabs>
                <w:tab w:val="left" w:pos="88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г.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32771E" w:rsidRPr="005652A2" w:rsidTr="00A22110">
        <w:tc>
          <w:tcPr>
            <w:tcW w:w="4962" w:type="dxa"/>
            <w:shd w:val="clear" w:color="auto" w:fill="auto"/>
          </w:tcPr>
          <w:p w:rsidR="0032771E" w:rsidRPr="005652A2" w:rsidRDefault="0032771E" w:rsidP="00A22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32771E" w:rsidRPr="005652A2" w:rsidRDefault="0032771E" w:rsidP="0032771E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pStyle w:val="a4"/>
        <w:tabs>
          <w:tab w:val="left" w:pos="4925"/>
        </w:tabs>
        <w:jc w:val="left"/>
        <w:rPr>
          <w:szCs w:val="28"/>
        </w:rPr>
      </w:pPr>
      <w:r>
        <w:rPr>
          <w:szCs w:val="28"/>
        </w:rPr>
        <w:t>О</w:t>
      </w:r>
      <w:r w:rsidRPr="007B3E5D">
        <w:rPr>
          <w:szCs w:val="28"/>
        </w:rPr>
        <w:t xml:space="preserve"> работе Собрания депутатов </w:t>
      </w:r>
    </w:p>
    <w:p w:rsidR="0032771E" w:rsidRDefault="0032771E" w:rsidP="0032771E">
      <w:pPr>
        <w:pStyle w:val="a4"/>
        <w:tabs>
          <w:tab w:val="left" w:pos="4925"/>
        </w:tabs>
        <w:jc w:val="left"/>
        <w:rPr>
          <w:szCs w:val="28"/>
        </w:rPr>
      </w:pPr>
      <w:r w:rsidRPr="007B3E5D">
        <w:rPr>
          <w:szCs w:val="28"/>
        </w:rPr>
        <w:t xml:space="preserve">Аргаяшского муниципального района </w:t>
      </w:r>
    </w:p>
    <w:p w:rsidR="0032771E" w:rsidRPr="007B3E5D" w:rsidRDefault="0032771E" w:rsidP="0032771E">
      <w:pPr>
        <w:pStyle w:val="a4"/>
        <w:tabs>
          <w:tab w:val="left" w:pos="4925"/>
        </w:tabs>
        <w:jc w:val="left"/>
        <w:rPr>
          <w:szCs w:val="28"/>
        </w:rPr>
      </w:pPr>
      <w:r w:rsidRPr="007B3E5D">
        <w:rPr>
          <w:szCs w:val="28"/>
        </w:rPr>
        <w:t>за 201</w:t>
      </w:r>
      <w:r>
        <w:rPr>
          <w:szCs w:val="28"/>
        </w:rPr>
        <w:t>5</w:t>
      </w:r>
      <w:r w:rsidRPr="007B3E5D">
        <w:rPr>
          <w:szCs w:val="28"/>
        </w:rPr>
        <w:t xml:space="preserve"> год</w:t>
      </w:r>
    </w:p>
    <w:p w:rsidR="0032771E" w:rsidRDefault="0032771E" w:rsidP="0032771E">
      <w:pPr>
        <w:pStyle w:val="a4"/>
        <w:tabs>
          <w:tab w:val="left" w:pos="4925"/>
        </w:tabs>
        <w:jc w:val="left"/>
        <w:rPr>
          <w:sz w:val="24"/>
        </w:rPr>
      </w:pPr>
    </w:p>
    <w:p w:rsidR="0032771E" w:rsidRPr="00AD0D07" w:rsidRDefault="0032771E" w:rsidP="0032771E">
      <w:pPr>
        <w:pStyle w:val="a4"/>
        <w:tabs>
          <w:tab w:val="left" w:pos="4925"/>
        </w:tabs>
        <w:jc w:val="left"/>
        <w:rPr>
          <w:sz w:val="24"/>
        </w:rPr>
      </w:pPr>
    </w:p>
    <w:p w:rsidR="0032771E" w:rsidRPr="005652A2" w:rsidRDefault="0032771E" w:rsidP="0032771E">
      <w:pPr>
        <w:pStyle w:val="a4"/>
        <w:tabs>
          <w:tab w:val="left" w:pos="709"/>
          <w:tab w:val="left" w:pos="851"/>
          <w:tab w:val="left" w:pos="4925"/>
        </w:tabs>
        <w:jc w:val="left"/>
        <w:rPr>
          <w:szCs w:val="28"/>
        </w:rPr>
      </w:pPr>
      <w:r w:rsidRPr="005652A2">
        <w:rPr>
          <w:sz w:val="24"/>
        </w:rPr>
        <w:t xml:space="preserve">   </w:t>
      </w:r>
      <w:r>
        <w:rPr>
          <w:sz w:val="24"/>
        </w:rPr>
        <w:t xml:space="preserve">         </w:t>
      </w:r>
      <w:r w:rsidRPr="005652A2">
        <w:rPr>
          <w:szCs w:val="28"/>
        </w:rPr>
        <w:t>Собрание депутатов Аргаяшского муниципального района РЕШАЕТ:</w:t>
      </w:r>
    </w:p>
    <w:p w:rsidR="0032771E" w:rsidRPr="005652A2" w:rsidRDefault="0032771E" w:rsidP="0032771E">
      <w:pPr>
        <w:pStyle w:val="a4"/>
        <w:tabs>
          <w:tab w:val="left" w:pos="4925"/>
        </w:tabs>
        <w:jc w:val="left"/>
        <w:rPr>
          <w:sz w:val="24"/>
        </w:rPr>
      </w:pPr>
    </w:p>
    <w:p w:rsidR="0032771E" w:rsidRPr="005652A2" w:rsidRDefault="0032771E" w:rsidP="0032771E">
      <w:pPr>
        <w:pStyle w:val="a4"/>
        <w:tabs>
          <w:tab w:val="left" w:pos="4925"/>
        </w:tabs>
        <w:jc w:val="left"/>
        <w:rPr>
          <w:sz w:val="24"/>
        </w:rPr>
      </w:pPr>
    </w:p>
    <w:p w:rsidR="0032771E" w:rsidRPr="005652A2" w:rsidRDefault="0032771E" w:rsidP="003277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52A2">
        <w:rPr>
          <w:rFonts w:ascii="Times New Roman" w:hAnsi="Times New Roman" w:cs="Times New Roman"/>
          <w:sz w:val="28"/>
          <w:szCs w:val="28"/>
        </w:rPr>
        <w:t>Утвердить отчет о работе Собрания депутатов Аргаяшского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52A2">
        <w:rPr>
          <w:rFonts w:ascii="Times New Roman" w:hAnsi="Times New Roman" w:cs="Times New Roman"/>
          <w:sz w:val="28"/>
          <w:szCs w:val="28"/>
        </w:rPr>
        <w:t>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52A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2771E" w:rsidRPr="005652A2" w:rsidRDefault="0032771E" w:rsidP="0032771E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32771E" w:rsidRPr="005652A2" w:rsidRDefault="0032771E" w:rsidP="0032771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Pr="005652A2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>Собрания депутатов                                                                            Т.М.Антоняк</w:t>
      </w: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Pr="003F07E2" w:rsidRDefault="0032771E" w:rsidP="0032771E">
      <w:pPr>
        <w:spacing w:after="0"/>
        <w:ind w:firstLine="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07E2">
        <w:rPr>
          <w:rFonts w:ascii="Times New Roman" w:hAnsi="Times New Roman" w:cs="Times New Roman"/>
          <w:b/>
          <w:sz w:val="26"/>
          <w:szCs w:val="26"/>
        </w:rPr>
        <w:t xml:space="preserve">ОТЧЕТ  </w:t>
      </w:r>
    </w:p>
    <w:p w:rsidR="0032771E" w:rsidRPr="003F07E2" w:rsidRDefault="0032771E" w:rsidP="0032771E">
      <w:pPr>
        <w:ind w:firstLine="180"/>
        <w:jc w:val="center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b/>
          <w:sz w:val="26"/>
          <w:szCs w:val="26"/>
        </w:rPr>
        <w:t>о работе Собрания депутатов Аргаяшского муниципального района за 2015 год.</w:t>
      </w:r>
      <w:r w:rsidRPr="003F07E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Работа Собрания депутатов Аргаяшского муниципального района в 2015 году строилась на основе планов в соответствии с федеральным законодательством о местном самоуправлении, законами Челябинской области, Уставом и нормативно-правовыми актами Аргаяшского муниципального района.</w:t>
      </w:r>
    </w:p>
    <w:p w:rsidR="0032771E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Федеральным и областным законодательством 13.09.2015 г. на территории Аргаяшского муниципального района были проведены выборы депутатов Собрания депутатов Аргаяшского муниципального района, которые проходили по 19 одномандатным округам. В результате был избран депутатский корпус, состоящей из 19 депутатов. Депутатами были решены организационные вопросы: избран председатель Собрания депутатов- Антоняк Т.М., заместитель председателя – Малева С.В., образованы постоянные комиссии, сформированы  их составы  и избраны председатели комиссий: бюджетно-финансовая комиссия – председатель Камалов М.Р., комиссия по вопросам агропромышленного производства, транспорта и связи, коммунального хозяйства и благоустройства – председатель Тимиргалеев З.М., комиссия по социальной политике-председатель Малева С.В., комиссия по мандатам, Регламенту и депутатской этике, законности правопорядку, местному самоуправлению, связям с общественностью и средствами информации- председатель Хакимов Р.Ш.</w:t>
      </w:r>
    </w:p>
    <w:p w:rsidR="0032771E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Решением Собрания депутатов был назначен конкурс по отбору кандидатур на должность главы Аргаяшского муниципального района. По результатам конкурса Собранием депутатов проведены выборы главы</w:t>
      </w:r>
      <w:r w:rsidRPr="00DD1A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Аргаяшского муниципального района. Решением Собрания депутатов</w:t>
      </w:r>
      <w:r w:rsidRPr="00DD1A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главой</w:t>
      </w:r>
      <w:r w:rsidRPr="00DD1A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Аргаяшского муниципального района избран Валишин И.М.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7E2">
        <w:rPr>
          <w:rFonts w:ascii="Times New Roman" w:hAnsi="Times New Roman" w:cs="Times New Roman"/>
          <w:sz w:val="26"/>
          <w:szCs w:val="26"/>
        </w:rPr>
        <w:t>Работа Собрания депутатов</w:t>
      </w:r>
      <w:r>
        <w:rPr>
          <w:rFonts w:ascii="Times New Roman" w:hAnsi="Times New Roman" w:cs="Times New Roman"/>
          <w:sz w:val="26"/>
          <w:szCs w:val="26"/>
        </w:rPr>
        <w:t xml:space="preserve"> в 2015 году</w:t>
      </w:r>
      <w:r w:rsidRPr="003F07E2">
        <w:rPr>
          <w:rFonts w:ascii="Times New Roman" w:hAnsi="Times New Roman" w:cs="Times New Roman"/>
          <w:sz w:val="26"/>
          <w:szCs w:val="26"/>
        </w:rPr>
        <w:t xml:space="preserve"> осуществлялась в различных формах: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разработка проектов решений Собрания депутатов;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анализ проектов нормативных правовых актов, выносимых на рассмотрение Собрания депутатов, подготовка замечаний, предложений по рассматриваемым проектам с целью приведения их в соответствии с Федеральным и областным законодательством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проведение заседаний постоянных депутатских комиссий;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проведение сессий Собрания депутатов;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проведение публичных слушаний;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контроль за исполнением ранее принятых решений;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прием населения и содействие в решении вопросов местного значения;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F07E2">
        <w:rPr>
          <w:rFonts w:ascii="Times New Roman" w:hAnsi="Times New Roman" w:cs="Times New Roman"/>
          <w:sz w:val="26"/>
          <w:szCs w:val="26"/>
        </w:rPr>
        <w:t>участие депутатов в составе комиссий администрации Аргаяшского муниципального района;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участие депутатов в различных мероприятиях, проводимых на территории района.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lastRenderedPageBreak/>
        <w:t xml:space="preserve">        Задачи, стоящие перед Собранием депутатов, решались на основе конструктивного  взаимодействия со специалистами  администрации района, главами и председателями Советов депутатов сельских поселений, руководителями предприятий, организаций и учреждений.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    Собрание депутатов в течение года работало в правомочном составе – 21 депутат до 13.09.2015 г. и 19депутатов после 13.09.2015 г.. Участие депутатов в работе заседаний (сессий) составило   89 %, большинство из них присутствовали на всех заседаниях Собрания депутатов.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32771E" w:rsidRDefault="0032771E" w:rsidP="003277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771E" w:rsidRPr="003F07E2" w:rsidRDefault="0032771E" w:rsidP="003277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07E2">
        <w:rPr>
          <w:rFonts w:ascii="Times New Roman" w:hAnsi="Times New Roman" w:cs="Times New Roman"/>
          <w:b/>
          <w:sz w:val="26"/>
          <w:szCs w:val="26"/>
        </w:rPr>
        <w:t>Сведения об участии депутатов в заседаниях 2015 года</w:t>
      </w:r>
    </w:p>
    <w:tbl>
      <w:tblPr>
        <w:tblStyle w:val="a6"/>
        <w:tblW w:w="10726" w:type="dxa"/>
        <w:tblInd w:w="-176" w:type="dxa"/>
        <w:tblLayout w:type="fixed"/>
        <w:tblLook w:val="04A0"/>
      </w:tblPr>
      <w:tblGrid>
        <w:gridCol w:w="629"/>
        <w:gridCol w:w="3766"/>
        <w:gridCol w:w="709"/>
        <w:gridCol w:w="709"/>
        <w:gridCol w:w="850"/>
        <w:gridCol w:w="851"/>
        <w:gridCol w:w="992"/>
        <w:gridCol w:w="284"/>
        <w:gridCol w:w="850"/>
        <w:gridCol w:w="1086"/>
      </w:tblGrid>
      <w:tr w:rsidR="0032771E" w:rsidRPr="003F07E2" w:rsidTr="00A22110">
        <w:trPr>
          <w:gridAfter w:val="3"/>
          <w:wAfter w:w="2220" w:type="dxa"/>
          <w:trHeight w:val="293"/>
        </w:trPr>
        <w:tc>
          <w:tcPr>
            <w:tcW w:w="629" w:type="dxa"/>
            <w:vMerge w:val="restart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 xml:space="preserve">№ п/п </w:t>
            </w:r>
          </w:p>
        </w:tc>
        <w:tc>
          <w:tcPr>
            <w:tcW w:w="3766" w:type="dxa"/>
            <w:vMerge w:val="restart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ФИО</w:t>
            </w:r>
          </w:p>
        </w:tc>
        <w:tc>
          <w:tcPr>
            <w:tcW w:w="4111" w:type="dxa"/>
            <w:gridSpan w:val="5"/>
          </w:tcPr>
          <w:p w:rsidR="0032771E" w:rsidRPr="003F07E2" w:rsidRDefault="0032771E" w:rsidP="00A22110">
            <w:pPr>
              <w:ind w:right="175"/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Отметка об участие в заседаниях Собрания депутатов в 2015 году</w:t>
            </w:r>
          </w:p>
        </w:tc>
      </w:tr>
      <w:tr w:rsidR="0032771E" w:rsidRPr="003F07E2" w:rsidTr="00A22110">
        <w:tc>
          <w:tcPr>
            <w:tcW w:w="629" w:type="dxa"/>
            <w:vMerge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</w:p>
        </w:tc>
        <w:tc>
          <w:tcPr>
            <w:tcW w:w="3766" w:type="dxa"/>
            <w:vMerge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93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ИТОГО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Прыкин Сергей Валентинович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tabs>
                <w:tab w:val="left" w:pos="892"/>
              </w:tabs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  <w:r w:rsidRPr="003F07E2">
              <w:rPr>
                <w:b/>
                <w:sz w:val="26"/>
                <w:szCs w:val="26"/>
              </w:rPr>
              <w:tab/>
              <w:t>-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tabs>
                <w:tab w:val="left" w:pos="892"/>
              </w:tabs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tabs>
                <w:tab w:val="left" w:pos="892"/>
              </w:tabs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tabs>
                <w:tab w:val="left" w:pos="892"/>
              </w:tabs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tabs>
                <w:tab w:val="left" w:pos="892"/>
              </w:tabs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tabs>
                <w:tab w:val="left" w:pos="892"/>
              </w:tabs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tabs>
                <w:tab w:val="left" w:pos="892"/>
              </w:tabs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2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Аккуин Данис Юсупович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3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Кафеев Урал Шафикович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4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Мухаметшин Харис Шарифуллинович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5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Садыков Рим Рафгатович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6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Антоняк Тарас Маркиянович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7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Силантьев Алексей Николаевич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8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Нестеров Виктор Васильевич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9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Самахужин Кадир Сабирович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10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Сиражитдинов Мударис Харисович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11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Малева Светлана Витальевна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12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Бадритдинов Уел Ибраевич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13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Романова Эльмира Ярмаевна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60%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14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Хамидуллин Марат Сафеевич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15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Абсалямов Ильсур Гайнитдинович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16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Юсупова Люция Фахритдиновна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17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Гиляжитдинов Альберт Фасхитович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18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Мусина Людмила Ивановна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19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Хажиев Фаяз Гаязович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60%;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20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Хабибуллин Амур Ягафарович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629" w:type="dxa"/>
          </w:tcPr>
          <w:p w:rsidR="0032771E" w:rsidRPr="003F07E2" w:rsidRDefault="0032771E" w:rsidP="00A22110">
            <w:pPr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21</w:t>
            </w:r>
          </w:p>
        </w:tc>
        <w:tc>
          <w:tcPr>
            <w:tcW w:w="3766" w:type="dxa"/>
          </w:tcPr>
          <w:p w:rsidR="0032771E" w:rsidRPr="003F07E2" w:rsidRDefault="0032771E" w:rsidP="00A22110">
            <w:pPr>
              <w:tabs>
                <w:tab w:val="left" w:pos="3360"/>
              </w:tabs>
              <w:rPr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Халилов Азат Абдрахманович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76" w:type="dxa"/>
            <w:gridSpan w:val="2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6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</w:tbl>
    <w:p w:rsidR="0032771E" w:rsidRPr="003F07E2" w:rsidRDefault="0032771E" w:rsidP="0032771E">
      <w:pPr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32771E" w:rsidRPr="003F07E2" w:rsidRDefault="0032771E" w:rsidP="003277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b/>
          <w:sz w:val="26"/>
          <w:szCs w:val="26"/>
        </w:rPr>
        <w:t>Сведения об участии депутатов нового созыва в заседаниях 2015 года</w:t>
      </w:r>
    </w:p>
    <w:tbl>
      <w:tblPr>
        <w:tblStyle w:val="a6"/>
        <w:tblW w:w="0" w:type="auto"/>
        <w:tblLayout w:type="fixed"/>
        <w:tblLook w:val="04A0"/>
      </w:tblPr>
      <w:tblGrid>
        <w:gridCol w:w="559"/>
        <w:gridCol w:w="3802"/>
        <w:gridCol w:w="709"/>
        <w:gridCol w:w="850"/>
        <w:gridCol w:w="851"/>
        <w:gridCol w:w="708"/>
        <w:gridCol w:w="683"/>
        <w:gridCol w:w="1130"/>
        <w:gridCol w:w="1130"/>
      </w:tblGrid>
      <w:tr w:rsidR="0032771E" w:rsidRPr="003F07E2" w:rsidTr="00A22110">
        <w:tc>
          <w:tcPr>
            <w:tcW w:w="559" w:type="dxa"/>
            <w:vMerge w:val="restart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№ п/п</w:t>
            </w:r>
          </w:p>
        </w:tc>
        <w:tc>
          <w:tcPr>
            <w:tcW w:w="3802" w:type="dxa"/>
            <w:vMerge w:val="restart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801" w:type="dxa"/>
            <w:gridSpan w:val="5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sz w:val="26"/>
                <w:szCs w:val="26"/>
              </w:rPr>
              <w:t>Отметка об участие в заседаниях Собрания депутатов в 2015 году</w:t>
            </w:r>
          </w:p>
        </w:tc>
        <w:tc>
          <w:tcPr>
            <w:tcW w:w="2260" w:type="dxa"/>
            <w:gridSpan w:val="2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ИТОГО</w:t>
            </w:r>
          </w:p>
        </w:tc>
      </w:tr>
      <w:tr w:rsidR="0032771E" w:rsidRPr="003F07E2" w:rsidTr="00A22110">
        <w:tc>
          <w:tcPr>
            <w:tcW w:w="559" w:type="dxa"/>
            <w:vMerge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2" w:type="dxa"/>
            <w:vMerge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Биктимиров </w:t>
            </w: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Даниль Нуруллович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Аккуин Данис Юсупович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Садыков Рим Рафгатович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Антоняк Тарас Маркиянович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80 %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Самахужин Кадир Сабирович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Сиражитдинов Мударис Харисович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80 %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Малева Светлана Витальевна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Романова Эльмира Ярмаевна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Юсупова Люция Фахритдиновна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rPr>
          <w:trHeight w:val="281"/>
        </w:trPr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Хажиев Фаяз Гаязович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3F07E2">
              <w:rPr>
                <w:b/>
                <w:sz w:val="26"/>
                <w:szCs w:val="26"/>
              </w:rPr>
              <w:t>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Гиниятуллин Габидулла Файзуллинович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60%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Хакимов Рашид Шавкатович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Тимиргалеев Заур Махмутович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Кучуков Марсель Мансурович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Камалов Марат Рафкатович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Середкин  Владимир  Валерьевич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3F07E2">
              <w:rPr>
                <w:b/>
                <w:sz w:val="26"/>
                <w:szCs w:val="26"/>
              </w:rPr>
              <w:t>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Шафиков Миндигали Миндиханович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Низамов Ризван Анварович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80%</w:t>
            </w:r>
          </w:p>
        </w:tc>
      </w:tr>
      <w:tr w:rsidR="0032771E" w:rsidRPr="003F07E2" w:rsidTr="00A22110">
        <w:tc>
          <w:tcPr>
            <w:tcW w:w="559" w:type="dxa"/>
          </w:tcPr>
          <w:p w:rsidR="0032771E" w:rsidRPr="003F07E2" w:rsidRDefault="0032771E" w:rsidP="00A221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02" w:type="dxa"/>
          </w:tcPr>
          <w:p w:rsidR="0032771E" w:rsidRPr="00094633" w:rsidRDefault="0032771E" w:rsidP="00A22110">
            <w:pPr>
              <w:tabs>
                <w:tab w:val="left" w:pos="3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4633">
              <w:rPr>
                <w:rFonts w:ascii="Times New Roman" w:hAnsi="Times New Roman" w:cs="Times New Roman"/>
                <w:sz w:val="26"/>
                <w:szCs w:val="26"/>
              </w:rPr>
              <w:t>Федосова Татьяна Петровна</w:t>
            </w:r>
          </w:p>
        </w:tc>
        <w:tc>
          <w:tcPr>
            <w:tcW w:w="709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83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0" w:type="dxa"/>
          </w:tcPr>
          <w:p w:rsidR="0032771E" w:rsidRPr="003F07E2" w:rsidRDefault="0032771E" w:rsidP="00A22110">
            <w:pPr>
              <w:rPr>
                <w:b/>
                <w:sz w:val="26"/>
                <w:szCs w:val="26"/>
              </w:rPr>
            </w:pPr>
            <w:r w:rsidRPr="003F07E2">
              <w:rPr>
                <w:b/>
                <w:sz w:val="26"/>
                <w:szCs w:val="26"/>
              </w:rPr>
              <w:t>100%</w:t>
            </w:r>
          </w:p>
        </w:tc>
      </w:tr>
    </w:tbl>
    <w:p w:rsidR="0032771E" w:rsidRPr="003F07E2" w:rsidRDefault="0032771E" w:rsidP="0032771E">
      <w:pPr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32771E" w:rsidRPr="003F07E2" w:rsidRDefault="0032771E" w:rsidP="0032771E">
      <w:pPr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ab/>
        <w:t>В 2015 году продолжилась работа по совершенствованию нормативно-правовой базы, регулирующий основные сферы деятельности органов местного самоуправления. За прошедший год было проведено 5 заседаний Собрания депутатов предыдущего созыва и 5 заседаний нового созыва, на которых в соответствии с ежеквартальными планами работы было рассмотрен 93 вопроса по различным проблемам социально-экономической жизни района.</w:t>
      </w:r>
    </w:p>
    <w:p w:rsidR="0032771E" w:rsidRPr="003F07E2" w:rsidRDefault="0032771E" w:rsidP="0032771E">
      <w:pPr>
        <w:ind w:firstLine="180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Анализ принятых решений по содержанию следующий:</w:t>
      </w:r>
    </w:p>
    <w:p w:rsidR="0032771E" w:rsidRPr="003F07E2" w:rsidRDefault="0032771E" w:rsidP="0032771E">
      <w:pPr>
        <w:ind w:firstLine="180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нормативно-правового характера  –  29</w:t>
      </w:r>
    </w:p>
    <w:p w:rsidR="0032771E" w:rsidRPr="003F07E2" w:rsidRDefault="0032771E" w:rsidP="0032771E">
      <w:pPr>
        <w:ind w:firstLine="180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бюджетного устройства и бюджета района - 9</w:t>
      </w:r>
    </w:p>
    <w:p w:rsidR="0032771E" w:rsidRPr="003F07E2" w:rsidRDefault="0032771E" w:rsidP="0032771E">
      <w:pPr>
        <w:ind w:firstLine="180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управления имуществом   –  16</w:t>
      </w:r>
    </w:p>
    <w:p w:rsidR="0032771E" w:rsidRPr="003F07E2" w:rsidRDefault="0032771E" w:rsidP="0032771E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- контрольного   и организационного характера – 39</w:t>
      </w:r>
    </w:p>
    <w:p w:rsidR="0032771E" w:rsidRPr="003F07E2" w:rsidRDefault="0032771E" w:rsidP="0032771E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</w:p>
    <w:p w:rsidR="0032771E" w:rsidRPr="003F07E2" w:rsidRDefault="0032771E" w:rsidP="0032771E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ab/>
        <w:t xml:space="preserve">Необходимо отметить, что, как и прежде, всю работу по подготовке решений и по их исполнению Собрание депутатов вело совместно с заместителями и специалистами администрации района. </w:t>
      </w:r>
    </w:p>
    <w:p w:rsidR="0032771E" w:rsidRPr="003F07E2" w:rsidRDefault="0032771E" w:rsidP="0032771E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Pr="003F07E2">
        <w:rPr>
          <w:rFonts w:ascii="Times New Roman" w:hAnsi="Times New Roman" w:cs="Times New Roman"/>
          <w:sz w:val="26"/>
          <w:szCs w:val="26"/>
        </w:rPr>
        <w:tab/>
        <w:t>Практически все вопросы, выносимые для принятия по ним решений на заседани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F07E2">
        <w:rPr>
          <w:rFonts w:ascii="Times New Roman" w:hAnsi="Times New Roman" w:cs="Times New Roman"/>
          <w:sz w:val="26"/>
          <w:szCs w:val="26"/>
        </w:rPr>
        <w:t xml:space="preserve"> Собрания депутатов, предварительно рассматривались постоянными комиссиями </w:t>
      </w:r>
      <w:r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3F07E2">
        <w:rPr>
          <w:rFonts w:ascii="Times New Roman" w:hAnsi="Times New Roman" w:cs="Times New Roman"/>
          <w:sz w:val="26"/>
          <w:szCs w:val="26"/>
        </w:rPr>
        <w:t xml:space="preserve">. </w:t>
      </w:r>
      <w:r w:rsidRPr="003F07E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3F07E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32771E" w:rsidRPr="003F07E2" w:rsidRDefault="0032771E" w:rsidP="00327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Безусловно, ключевыми вопросами рассматриваемыми Собранием депутатов Аргаяшского муниципального района в 201</w:t>
      </w:r>
      <w:r>
        <w:rPr>
          <w:rFonts w:ascii="Times New Roman" w:hAnsi="Times New Roman" w:cs="Times New Roman"/>
          <w:sz w:val="26"/>
          <w:szCs w:val="26"/>
        </w:rPr>
        <w:t>5 г. были вопросы об утверждении</w:t>
      </w:r>
      <w:r w:rsidRPr="003F07E2">
        <w:rPr>
          <w:rFonts w:ascii="Times New Roman" w:hAnsi="Times New Roman" w:cs="Times New Roman"/>
          <w:sz w:val="26"/>
          <w:szCs w:val="26"/>
        </w:rPr>
        <w:t xml:space="preserve"> бюдже</w:t>
      </w:r>
      <w:r>
        <w:rPr>
          <w:rFonts w:ascii="Times New Roman" w:hAnsi="Times New Roman" w:cs="Times New Roman"/>
          <w:sz w:val="26"/>
          <w:szCs w:val="26"/>
        </w:rPr>
        <w:t>та АМР и отчета о его исполнении</w:t>
      </w:r>
      <w:r w:rsidRPr="003F07E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  внесении</w:t>
      </w:r>
      <w:r w:rsidRPr="003F07E2">
        <w:rPr>
          <w:rFonts w:ascii="Times New Roman" w:hAnsi="Times New Roman" w:cs="Times New Roman"/>
          <w:sz w:val="26"/>
          <w:szCs w:val="26"/>
        </w:rPr>
        <w:t xml:space="preserve"> изменений и дополнений в Устав АМР . </w:t>
      </w:r>
    </w:p>
    <w:p w:rsidR="0032771E" w:rsidRPr="003F07E2" w:rsidRDefault="0032771E" w:rsidP="00327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Принятию бюджета на очередной финансовый год и утверждению отчета об исполнении бюджета за прошедший год, а так же, внесению изменений и дополнений в Устав Аргаяшского муниципального района предшествовали публичные слушания с приглашением органов местного самоуправления, трудовых коллективов, общественных организаций, жителей района через средства массовой информации и телефонограммы.  </w:t>
      </w:r>
    </w:p>
    <w:p w:rsidR="0032771E" w:rsidRDefault="0032771E" w:rsidP="00327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Несмотря на финансовые трудности удалось обеспечить стабильное финансирование первоочередных социальных обязательств (зарплата, услуги социальной сферы , расходы  по текущему содержанию бюджетных учреждений итд.) и создать условия для экономического роста. </w:t>
      </w:r>
    </w:p>
    <w:p w:rsidR="0032771E" w:rsidRDefault="0032771E" w:rsidP="00327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F07E2">
        <w:rPr>
          <w:rFonts w:ascii="Times New Roman" w:hAnsi="Times New Roman" w:cs="Times New Roman"/>
          <w:sz w:val="26"/>
          <w:szCs w:val="26"/>
        </w:rPr>
        <w:t xml:space="preserve">В течение года по внесению изменений и дополнений в </w:t>
      </w:r>
      <w:r>
        <w:rPr>
          <w:rFonts w:ascii="Times New Roman" w:hAnsi="Times New Roman" w:cs="Times New Roman"/>
          <w:sz w:val="26"/>
          <w:szCs w:val="26"/>
        </w:rPr>
        <w:t xml:space="preserve">бюджет района </w:t>
      </w:r>
      <w:r w:rsidRPr="003F07E2">
        <w:rPr>
          <w:rFonts w:ascii="Times New Roman" w:hAnsi="Times New Roman" w:cs="Times New Roman"/>
          <w:sz w:val="26"/>
          <w:szCs w:val="26"/>
        </w:rPr>
        <w:t>Собрание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F07E2">
        <w:rPr>
          <w:rFonts w:ascii="Times New Roman" w:hAnsi="Times New Roman" w:cs="Times New Roman"/>
          <w:sz w:val="26"/>
          <w:szCs w:val="26"/>
        </w:rPr>
        <w:t xml:space="preserve"> депутатов принято 4 решения, проводился анализ наполняемости бюджета, принимались меры к должникам. </w:t>
      </w:r>
    </w:p>
    <w:p w:rsidR="0032771E" w:rsidRPr="003F07E2" w:rsidRDefault="0032771E" w:rsidP="00327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>Важным итогом работы Собрания депутатов в отчетном году стало принятие решения о бюджете АМР на 2016 год.</w:t>
      </w:r>
    </w:p>
    <w:p w:rsidR="0032771E" w:rsidRPr="003F07E2" w:rsidRDefault="0032771E" w:rsidP="00327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В связи с изменениями федерального законодательства и законов области соответствующие изменения и дополнения вносились в  Устав Аргаяшского муниципального района и в ранее принятые нормативно-правовые акты Аргаяшского муниципального района. Решения Собрания депутатов  «О внесении изменений в Устав Аргаяшского муниципального района» с оформлением соответствующих сопроводительных документов были представлены на государственную регистрацию в Управление министерства Юстиции Российской Федерации по Челябинской области и зарегистрированы. 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 </w:t>
      </w:r>
      <w:r w:rsidRPr="003F07E2">
        <w:rPr>
          <w:rFonts w:ascii="Times New Roman" w:hAnsi="Times New Roman" w:cs="Times New Roman"/>
          <w:sz w:val="26"/>
          <w:szCs w:val="26"/>
        </w:rPr>
        <w:tab/>
        <w:t xml:space="preserve">В истекшем году было принято    14  решений, утвердивших вносимые в </w:t>
      </w:r>
      <w:r>
        <w:rPr>
          <w:rFonts w:ascii="Times New Roman" w:hAnsi="Times New Roman" w:cs="Times New Roman"/>
          <w:sz w:val="26"/>
          <w:szCs w:val="26"/>
        </w:rPr>
        <w:t xml:space="preserve">действующие </w:t>
      </w:r>
      <w:r w:rsidRPr="003F07E2">
        <w:rPr>
          <w:rFonts w:ascii="Times New Roman" w:hAnsi="Times New Roman" w:cs="Times New Roman"/>
          <w:sz w:val="26"/>
          <w:szCs w:val="26"/>
        </w:rPr>
        <w:t>нормативные правовые акты изменения и дополнения , а также НПА  в новой редакции. Это решения  по вопросам территориального планирования, градостроительства, налогообложения, определения величины арендной платы за пользование муниципальным имуществом, взаимодействия органов местного самоуправления района и сельских  поселений, проведения публичных слушаний.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3F07E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</w:t>
      </w:r>
      <w:r w:rsidRPr="003F07E2">
        <w:rPr>
          <w:rFonts w:ascii="Times New Roman" w:hAnsi="Times New Roman" w:cs="Times New Roman"/>
          <w:sz w:val="26"/>
          <w:szCs w:val="26"/>
        </w:rPr>
        <w:tab/>
        <w:t>Учитывая сложность и актуальность вопроса, неоднократно в течение года на заседаниях Собрания депутатов обсуждались ход подготовки и готовность жилищно-коммунального хозяйства района к зимнему отопительному сезону,  заслушивались руководители и специалисты жилищно-коммунального хозяйства, главы сельских поселений, решались вопросы распределения средств из дополнительных доходов на оплату за топливно-энергетические ресурсы, на ремонт систем тепло- и водоснабжения.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ab/>
        <w:t xml:space="preserve">В течение года продолжалась работа по разграничению объектов муниципальной собственности между районом и поселениями, готовились необходимые документы, согласовывались перечни передаваемого имущества, </w:t>
      </w:r>
      <w:r w:rsidRPr="003F07E2">
        <w:rPr>
          <w:rFonts w:ascii="Times New Roman" w:hAnsi="Times New Roman" w:cs="Times New Roman"/>
          <w:sz w:val="26"/>
          <w:szCs w:val="26"/>
        </w:rPr>
        <w:lastRenderedPageBreak/>
        <w:t xml:space="preserve">кроме того, принимались решения о передаче имущества в государственную собственность, либо приемке его в муниципальную собственность. 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   Немаловажное значение отводилось контрольным функциям Собрания депутатов. В течение года были заслушаны отчеты главы района, финансового управления, управления образования, культуры, физической культуры и спорта, КСК, управления с/х.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</w:t>
      </w:r>
      <w:r w:rsidRPr="003F07E2">
        <w:rPr>
          <w:rFonts w:ascii="Times New Roman" w:hAnsi="Times New Roman" w:cs="Times New Roman"/>
          <w:sz w:val="26"/>
          <w:szCs w:val="26"/>
        </w:rPr>
        <w:tab/>
        <w:t>В порядке контроля депутатами заслушаны информации о ходе выполнения районных целевых программ: «Здоровье», «Образование», «Развитие АПК» и подпрограмм по обеспечению жильём жителей Аргаяшского муниципального района, информации по мобилизации платежей в бюджет района, о мерах, принимаемых  органам местного самоуправления района и руководителями организаций по устранению нарушений, выявленных Контрольно-счетной комиссией Аргаяшского муниципального района, об организации отдыха, оздоровления и занятости детей в летний период, о готовности образовательных учреждений района к новому учебному году, о готовности хозяйств района к весенне-полевым работам и другие.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    Проекты решений Собрания депутатов направлялись в прокуратуру, что позволяло выявить противоречие проектов действующему законодательству и внести необходимые изменения. После принятия и подписания решения Собрания депутатов также направлялись в прокуратуру, где рассматривались в порядке надзора. При выявлении в решениях Собрания депутатов положений, противоречащих федеральным законам и законам Челябинской области, в Собрание депутатов поступали представление, либо протест прокурора.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</w:t>
      </w:r>
      <w:r w:rsidRPr="003F07E2">
        <w:rPr>
          <w:rFonts w:ascii="Times New Roman" w:hAnsi="Times New Roman" w:cs="Times New Roman"/>
          <w:sz w:val="26"/>
          <w:szCs w:val="26"/>
        </w:rPr>
        <w:tab/>
        <w:t>В 2015 году в адрес Собрания депутатов поступил 2 протеса районной прокуратуры на решения Собрания депутатов. Протесты  удовлетворены.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</w:t>
      </w:r>
      <w:r w:rsidRPr="003F07E2">
        <w:rPr>
          <w:rFonts w:ascii="Times New Roman" w:hAnsi="Times New Roman" w:cs="Times New Roman"/>
          <w:sz w:val="26"/>
          <w:szCs w:val="26"/>
        </w:rPr>
        <w:tab/>
        <w:t>В 2015 году в Собрание депутатов поступило 119 обращений – это жалобы, заявления и предложения граждан и организаций. Все они рассмотрены, по каждому из них даны ответы, разъяснения, либо приняты конкретные меры по их разрешению. Рассмотрены и приняты решения по всем представлениям правоохранительных органов и указаниям вышестоящих контролирующих органов.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ab/>
        <w:t xml:space="preserve">Неотъемлемой частью в деятельности депутатов является работа с населением. Депутаты проводили приемы граждан согласно графиков в депутатском центре  и непосредственно в сельских поселениях, рассматривали жалобы и обращения жителей, обсуждали и решали вопросы  в ходе проведения встреч, собраний, сходов. </w:t>
      </w:r>
      <w:r>
        <w:rPr>
          <w:rFonts w:ascii="Times New Roman" w:hAnsi="Times New Roman" w:cs="Times New Roman"/>
          <w:sz w:val="26"/>
          <w:szCs w:val="26"/>
        </w:rPr>
        <w:t xml:space="preserve"> Поступившие сведения позволяю</w:t>
      </w:r>
      <w:r w:rsidRPr="003F07E2">
        <w:rPr>
          <w:rFonts w:ascii="Times New Roman" w:hAnsi="Times New Roman" w:cs="Times New Roman"/>
          <w:sz w:val="26"/>
          <w:szCs w:val="26"/>
        </w:rPr>
        <w:t>т депутатам владеть более полной  и объективной информацией о ситуации во всех сферах жизнедеятельности района,  изыскать возможности положительного влияния на поступившие вопросы и реально решать  проблемы жителей, обеспечить соответствие принимаемых решений интересам населения района. За год только в депутатский центр поступило 640  обращений, из которых 264 рассмотрено положительно, по 272  обращениями даны консультации, остальные находятся в работе. Следует отметить , что за время работы депутатский центр завоевал доверие граждан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lastRenderedPageBreak/>
        <w:t xml:space="preserve">         Решением Президиума Собрания депутатов за высокие производственные показатели, активную общественную деятельность и добросовестное отношение к труду в 2015 году  22 жителя района награждены Почетными грамотами, 25 - Благодарственными письмами Собрания депутатов.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 В течение года от Собрания депутатов проводились поздравления (приветственные адреса, открытки, ценные подарки) Почетных граждан Аргаяшского муниципального района, старейших жителей района, руководителей и коллективов предприятий и организаций с профессиональными праздниками и юбилеями.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    В 2015 году Собранием депутатов удовлетворены представления Советов депутатов Акбашевского и Кулуевского сельских поселений на присвоение звания «Почетный гражданин Аргаяшского муниципального района». Решением Собрания депутатов звание «Почетный гражданин Аргаяшского муниципального района»  присвоено Галиуллину Г.Г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F07E2">
        <w:rPr>
          <w:rFonts w:ascii="Times New Roman" w:hAnsi="Times New Roman" w:cs="Times New Roman"/>
          <w:sz w:val="26"/>
          <w:szCs w:val="26"/>
        </w:rPr>
        <w:t xml:space="preserve"> – жителю с. Акбашево и Хайруллиной З.К. - жительнице с.Кулуево.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ab/>
        <w:t>К сожалению, решить все просьбы и пожелания избирателей не всегда удается, так как, часто это требует дополнительных финансовых затрат, но в целом большинство вопросов было решено положительно или по ним были даны аргументированные разъяснения, часть вопросов находится на контроле у депутатов.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ab/>
        <w:t xml:space="preserve">На протяжении всего года Собрание депутатов, его аппарат активно взаимодействовали с руководителями общественных организаций, оказывали необходимую помощь и принимали участие в проведении мероприятий, посвященных общественно значимым датам  (День Победы, День памяти, День матери, День пожилого человека,  День знаний, День последнего звонка и т.д.), в организации и проведении субботников по очистке и благоустройству территорий поселений.     </w:t>
      </w:r>
    </w:p>
    <w:p w:rsidR="0032771E" w:rsidRPr="003F07E2" w:rsidRDefault="0032771E" w:rsidP="0032771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Деятельность  Собрания депутатов носила открытый, доступный и понятный для населения района характер. Все решения Собрания депутатов, в первую очередь нормативно-правовые акты, затрагивающие интересы граждан, были опубликованы в печати и  направлены в правительство Челябинской области для включения в единый реестр нормативно-правовых актов муниципальных образований. 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     Практически на каждом заседании Собрания депутатов присутствовали представители средств массовой информации.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  </w:t>
      </w:r>
      <w:r w:rsidRPr="003F07E2">
        <w:rPr>
          <w:rFonts w:ascii="Times New Roman" w:hAnsi="Times New Roman" w:cs="Times New Roman"/>
          <w:sz w:val="26"/>
          <w:szCs w:val="26"/>
        </w:rPr>
        <w:tab/>
        <w:t>Работа Собрания депутатов Аргаяшского муниципального района освещалась в течение года в средствах массовой информации. О каждом заседании Собрания депутатов и основных вопросах, рассмотренных на них, были сообщения  в районной газете «Восход», в информационном выпуске «Аргаяшский вестник», на местном телевидении, на официальном сайте администрации Аргаяшского муниципального района, в результате чего жители района получали объективное представление о деятельности представительного органа власти района, о ходе обсуждения вопросов.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lastRenderedPageBreak/>
        <w:t xml:space="preserve">      График приема населения депутатами районного Собрания депутатов на территории соответствующих избирательных округов доводится до сведения жителей района через районную газету «Восход». </w:t>
      </w:r>
    </w:p>
    <w:p w:rsidR="0032771E" w:rsidRPr="003F07E2" w:rsidRDefault="0032771E" w:rsidP="0032771E">
      <w:pPr>
        <w:spacing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32771E" w:rsidRPr="003F07E2" w:rsidRDefault="0032771E" w:rsidP="0032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07E2">
        <w:rPr>
          <w:rFonts w:ascii="Times New Roman" w:hAnsi="Times New Roman" w:cs="Times New Roman"/>
          <w:sz w:val="26"/>
          <w:szCs w:val="26"/>
        </w:rPr>
        <w:t xml:space="preserve">Председатель Собрания депутатов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F07E2">
        <w:rPr>
          <w:rFonts w:ascii="Times New Roman" w:hAnsi="Times New Roman" w:cs="Times New Roman"/>
          <w:sz w:val="26"/>
          <w:szCs w:val="26"/>
        </w:rPr>
        <w:t xml:space="preserve">                             Т.М.Антоняк</w:t>
      </w: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Pr="005652A2" w:rsidRDefault="0032771E" w:rsidP="00327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71E" w:rsidRPr="004C13D1" w:rsidRDefault="0032771E" w:rsidP="0032771E">
      <w:pPr>
        <w:spacing w:after="0"/>
        <w:rPr>
          <w:sz w:val="28"/>
          <w:szCs w:val="28"/>
        </w:rPr>
      </w:pPr>
    </w:p>
    <w:p w:rsidR="0032771E" w:rsidRDefault="0032771E" w:rsidP="0032771E">
      <w:pPr>
        <w:spacing w:after="0"/>
        <w:rPr>
          <w:rFonts w:ascii="Times New Roman" w:hAnsi="Times New Roman" w:cs="Times New Roman"/>
        </w:rPr>
      </w:pPr>
    </w:p>
    <w:p w:rsidR="0032771E" w:rsidRDefault="0032771E" w:rsidP="0032771E"/>
    <w:p w:rsidR="00336797" w:rsidRDefault="00336797"/>
    <w:sectPr w:rsidR="00336797" w:rsidSect="00467854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771E"/>
    <w:rsid w:val="001849E5"/>
    <w:rsid w:val="0032771E"/>
    <w:rsid w:val="00336797"/>
    <w:rsid w:val="004F25E5"/>
    <w:rsid w:val="009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1E"/>
  </w:style>
  <w:style w:type="paragraph" w:styleId="3">
    <w:name w:val="heading 3"/>
    <w:basedOn w:val="a"/>
    <w:next w:val="a"/>
    <w:link w:val="30"/>
    <w:qFormat/>
    <w:rsid w:val="0032771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2771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771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771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3277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3277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2771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327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2317</Words>
  <Characters>13209</Characters>
  <Application>Microsoft Office Word</Application>
  <DocSecurity>0</DocSecurity>
  <Lines>110</Lines>
  <Paragraphs>30</Paragraphs>
  <ScaleCrop>false</ScaleCrop>
  <Company>RePack by SPecialiST</Company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2016-03-10T09:28:00Z</dcterms:created>
  <dcterms:modified xsi:type="dcterms:W3CDTF">2016-03-10T09:28:00Z</dcterms:modified>
</cp:coreProperties>
</file>