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C9" w:rsidRDefault="001F4BB7">
      <w:pPr>
        <w:spacing w:after="143" w:line="240" w:lineRule="auto"/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УТВЕРЖДЕНА:</w:t>
      </w:r>
    </w:p>
    <w:p w:rsidR="008320C9" w:rsidRDefault="001F4BB7">
      <w:pPr>
        <w:spacing w:after="143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320C9" w:rsidRDefault="001F4BB7">
      <w:pPr>
        <w:spacing w:after="143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8320C9" w:rsidRDefault="001F4BB7">
      <w:pPr>
        <w:spacing w:after="143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20 » декабря 2024 г. № 136</w:t>
      </w:r>
      <w:r w:rsidR="00211E8B">
        <w:rPr>
          <w:rFonts w:ascii="Times New Roman" w:hAnsi="Times New Roman" w:cs="Times New Roman"/>
          <w:sz w:val="28"/>
          <w:szCs w:val="28"/>
        </w:rPr>
        <w:t>2</w:t>
      </w:r>
    </w:p>
    <w:p w:rsidR="008320C9" w:rsidRDefault="008320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jc w:val="center"/>
        <w:rPr>
          <w:b/>
          <w:bCs/>
          <w:sz w:val="36"/>
          <w:szCs w:val="36"/>
        </w:rPr>
      </w:pPr>
    </w:p>
    <w:p w:rsidR="008320C9" w:rsidRDefault="008320C9">
      <w:pPr>
        <w:jc w:val="center"/>
        <w:rPr>
          <w:b/>
          <w:bCs/>
          <w:sz w:val="36"/>
          <w:szCs w:val="36"/>
        </w:rPr>
      </w:pPr>
    </w:p>
    <w:p w:rsidR="008320C9" w:rsidRDefault="008320C9">
      <w:pPr>
        <w:jc w:val="center"/>
        <w:rPr>
          <w:b/>
          <w:bCs/>
          <w:sz w:val="36"/>
          <w:szCs w:val="36"/>
        </w:rPr>
      </w:pPr>
    </w:p>
    <w:p w:rsidR="008320C9" w:rsidRDefault="001F4BB7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Муниципальная  программа</w:t>
      </w:r>
    </w:p>
    <w:p w:rsidR="008320C9" w:rsidRDefault="001F4BB7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«Улучшение условий и охраны труда</w:t>
      </w:r>
    </w:p>
    <w:p w:rsidR="008320C9" w:rsidRDefault="001F4BB7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в Аргаяшском муниципальном районе»</w:t>
      </w:r>
    </w:p>
    <w:p w:rsidR="008320C9" w:rsidRDefault="001F4BB7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на 2025-2027 годы.</w:t>
      </w:r>
    </w:p>
    <w:p w:rsidR="008320C9" w:rsidRDefault="008320C9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8320C9" w:rsidRDefault="001F4BB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Паспорт</w:t>
      </w:r>
    </w:p>
    <w:p w:rsidR="008320C9" w:rsidRDefault="001F4BB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«Улучшение условий и охраны труда </w:t>
      </w:r>
    </w:p>
    <w:p w:rsidR="008320C9" w:rsidRDefault="001F4BB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Аргаяшском муниципальном районе» </w:t>
      </w:r>
    </w:p>
    <w:p w:rsidR="008320C9" w:rsidRDefault="001F4BB7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8320C9" w:rsidRDefault="008320C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363" w:type="dxa"/>
        <w:tblLayout w:type="fixed"/>
        <w:tblLook w:val="00A0"/>
      </w:tblPr>
      <w:tblGrid>
        <w:gridCol w:w="3295"/>
        <w:gridCol w:w="6344"/>
      </w:tblGrid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«Улучшение условий и охраны труда в Аргаяшском муниципальном районе, 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именуется  Программа</w:t>
            </w: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210 Трудового кодекса Российской Федерации, Закон Челябинской области от 11 сентября 2011 года № 29-ЗО «Об охране труда в Челябинской области»</w:t>
            </w: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охране труда Аргаяшского муниципального района.</w:t>
            </w: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Аргаяшского муниципального района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 – ведущий специалист по охране труда по осуществлению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 государственных полномочий в области охраны труда</w:t>
            </w:r>
          </w:p>
        </w:tc>
      </w:tr>
      <w:tr w:rsidR="008320C9">
        <w:trPr>
          <w:trHeight w:val="87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 всех форм собственности, сельские поселения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C9">
        <w:trPr>
          <w:trHeight w:val="2715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муниципальной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Улучшение условий и охраны труда у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 на территории Аргаяшского муниципального района.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 сохранения жизни и здоровья работников в процессе трудовой деятельности и снижения уровня профессиональной заболеваемости на территории Аргаяшского  муниципального района.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ижение уровня производственного травматизма на  территории Аргаяшского муниципального района.</w:t>
            </w: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муниципальной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Снижение числа пострадавших в результате несчастных случаев на производстве с утратой трудоспособности на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 день и более в расчете на 1 тысячу работающих.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Увеличение числа рабочих мест, на которых проведена специальная оценка условий труда.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 Содействие в организации обучения работодателей и работников по охране труда на основе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технологий обучения.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4. Увеличение числа работников, прошедших обязательные медицинские осмотры, освидетельствования.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5. Информационно-консультационное обеспечение и пропаганда охраны труда.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6. Снижение числа лиц с установленным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 году профессиональным заболеванием в расчете на 10 тысяч работающих.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7. Реализация переданных государственных полномочий в области охраны труда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C9">
        <w:trPr>
          <w:trHeight w:val="11227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Снижение числа пострадавших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результате несчастных случаев на производстве с утратой трудоспособности на один рабочий день и более в расчете на 1 тысячу работающих, (коэффициент частоты производственного травматизма (Кч));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 – 0,8;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0,6;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0,6.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Увеличение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рабочих мест, на которых проведена специальная оценка условий труда в организациях бюджетной сферы (%);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 – 100;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100;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 – 100.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числа работодателей и работников, прошедших обучение по курсу «Охрана труда» в учебных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 на основе современных технологий, (человек);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– 120;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120;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 – 120.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Увеличение числа работников, прошедших обязательные медицинские осмотры и освидетельствования, (человек);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– 3000;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3000;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 – 3000.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5.Увели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количества публикаций в районной газете «Восход»и на сайте района, (единиц);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– 10;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– 10;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10.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Увеличение числа рассмотренных обращений и консультаций по вопросам охраны труда, (единиц);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– 100;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100;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100.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мероприятий по охране труда (семинары,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выставки, участие в «Клубе кадровика» и др.), (единиц)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– 4;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– 4;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 – 4.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Снижение числа лиц с установленным в текущем году профессиональным заболеванием в расчете на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тысяч работающих, (человек);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 – 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 – 0;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2027г. – 0.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2025 - 2027 годы.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 и источники финансирования 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финансирования муниципальной программы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2461,8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за счет средств областного бюджета – 2401,8 тыс. рублей, в том числе: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 счет средств местного бюджета – 60.0 тыс. рублей, в том числе: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тыс. рублей.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тыс. рублей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-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работодателей, не менее 0,2 % суммы затрат на производство продукции, выполнения работ, оказание услуг (согласно ст. 225 Трудового кодекса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Освоение названных средств будет осуществляться работодателями.</w:t>
            </w:r>
          </w:p>
        </w:tc>
      </w:tr>
      <w:tr w:rsidR="008320C9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Снижение числа пострадавших в результате несчастных случаев на производстве с утратой трудоспособности на один рабочий день и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в расчете на 1 тысячу работающих до показателя 0,6 (коэффициент частоты произв. травматизма (К.ч))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Увеличение числа рабочих мест на которых проведена специальная оценка условий труда в организациях бюджетной сферы до 100%: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Увеличение числа прошедш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обучение по курсу «Охрана труда» в учебных центрах на основе современных технологий обучения до 360 человек: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Увеличение числа работников, прошедших обязательные медицинские осмотры и освидетельствования до 3000 человек: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Увеличение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рассмотренных обращений и консультаций по вопросам охраны труда до 300 единиц;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Увеличение количества публикаций в Районной газете «Восход» и на сайте района до 30 единиц, в том числе: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Количество мероприятий по охране труда(семинары, выставки,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«Клубе кадровика» и др.)до 12 единиц;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Снижение числа лиц с установленным в текущем году профессиональным заболеванием в расчете на 10 тысяч работающих до 0  человек: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Реализация переданных государственных полномочий в области охраны труда, до 800,6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20C9" w:rsidRDefault="001F4BB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условий и охраны труда в Аргаяшском муниципальном районе , предоставление отчетов и ответов на запросы Главного управления по труду и занятости Челябинской области.</w:t>
            </w:r>
          </w:p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C9">
        <w:tc>
          <w:tcPr>
            <w:tcW w:w="3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0C9" w:rsidRDefault="008320C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320C9" w:rsidRDefault="008320C9">
      <w:pPr>
        <w:pStyle w:val="ac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8320C9" w:rsidRDefault="001F4BB7">
      <w:pPr>
        <w:pStyle w:val="ac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Введение</w:t>
      </w:r>
    </w:p>
    <w:p w:rsidR="008320C9" w:rsidRDefault="008320C9">
      <w:pPr>
        <w:pStyle w:val="ac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20C9" w:rsidRDefault="001F4BB7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демографических процессов,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изменение ситуации на рынке труда усиливают актуальность сохранения трудового потенциала. Это нашло отражение в</w:t>
      </w:r>
      <w:r>
        <w:rPr>
          <w:rFonts w:ascii="Times New Roman" w:hAnsi="Times New Roman" w:cs="Times New Roman"/>
          <w:sz w:val="28"/>
          <w:szCs w:val="28"/>
        </w:rPr>
        <w:t xml:space="preserve"> Концепции</w:t>
      </w:r>
      <w:r>
        <w:rPr>
          <w:rFonts w:ascii="Times New Roman" w:hAnsi="Times New Roman" w:cs="Times New Roman"/>
          <w:color w:val="000000"/>
          <w:sz w:val="28"/>
          <w:szCs w:val="28"/>
        </w:rPr>
        <w:t> демографической политики Российской Федерации на период до 2025 г., утвержденной </w:t>
      </w:r>
      <w:r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Президента Российской Федерации от 09.10.2007 </w:t>
      </w:r>
      <w:r>
        <w:rPr>
          <w:rFonts w:ascii="Times New Roman" w:hAnsi="Times New Roman" w:cs="Times New Roman"/>
          <w:color w:val="000000"/>
          <w:sz w:val="28"/>
          <w:szCs w:val="28"/>
        </w:rPr>
        <w:t>г. N 1351.</w:t>
      </w:r>
    </w:p>
    <w:p w:rsidR="008320C9" w:rsidRDefault="001F4BB7">
      <w:pPr>
        <w:pStyle w:val="ac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Актуальные вопросы обеспечения безопасного труда, сохранения здоровья работающих рассматривается на заседаниях Межведомственной комиссии по охране труда  Аргаяшского муниципального района.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Неблагоприятные условия труда являются основной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профессиональных заболеваний. Нередко этому способствует формальное отношение работодателей к проведению периодических медицинских осмотров работников.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Значительной частью работодателей не выполняется требование трудового законодательства о проведении спе</w:t>
      </w:r>
      <w:r>
        <w:rPr>
          <w:rFonts w:ascii="Times New Roman" w:hAnsi="Times New Roman" w:cs="Times New Roman"/>
          <w:color w:val="000000"/>
          <w:sz w:val="28"/>
          <w:szCs w:val="28"/>
        </w:rPr>
        <w:t>циальной оценки условий труда.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Проверки предприятий, проводимые органами, осуществляющими надзор и контроль за соблюдением требований охраны труда показывают, что многие нарушения в области охраны труда и обеспечения его безопасных условий связаны с отсутс</w:t>
      </w:r>
      <w:r>
        <w:rPr>
          <w:rFonts w:ascii="Times New Roman" w:hAnsi="Times New Roman" w:cs="Times New Roman"/>
          <w:color w:val="000000"/>
          <w:sz w:val="28"/>
          <w:szCs w:val="28"/>
        </w:rPr>
        <w:t>твием специалистов (служб) охраны труда в организациях или их не укомплектованностью.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Причинами производственного травматизма также являются недостатки в обучении работников требованиям охраны труда, обеспечением их средствами индивидуальной защиты.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Предот</w:t>
      </w:r>
      <w:r>
        <w:rPr>
          <w:rFonts w:ascii="Times New Roman" w:hAnsi="Times New Roman" w:cs="Times New Roman"/>
          <w:color w:val="000000"/>
          <w:sz w:val="28"/>
          <w:szCs w:val="28"/>
        </w:rPr>
        <w:t>вращение травматизма во многом зависит от сознательного отношения к вопросам безопасности труда работников, повышения ими уровня знаний в этой области. В этой связи необходимо активизировать пропаганду в средствах массовой информации культуры труда, улучши</w:t>
      </w:r>
      <w:r>
        <w:rPr>
          <w:rFonts w:ascii="Times New Roman" w:hAnsi="Times New Roman" w:cs="Times New Roman"/>
          <w:color w:val="000000"/>
          <w:sz w:val="28"/>
          <w:szCs w:val="28"/>
        </w:rPr>
        <w:t>ть информирование работающих о предусмотренных законодательством правах и гарантиях в сфере охраны труда.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 </w:t>
      </w:r>
      <w:r>
        <w:rPr>
          <w:rFonts w:ascii="Times New Roman" w:hAnsi="Times New Roman" w:cs="Times New Roman"/>
          <w:sz w:val="28"/>
          <w:szCs w:val="28"/>
        </w:rPr>
        <w:t>статьей 212</w:t>
      </w:r>
      <w:r>
        <w:rPr>
          <w:rFonts w:ascii="Times New Roman" w:hAnsi="Times New Roman" w:cs="Times New Roman"/>
          <w:color w:val="000000"/>
          <w:sz w:val="28"/>
          <w:szCs w:val="28"/>
        </w:rPr>
        <w:t> Трудового Кодекса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> Челябинской области от 29.09.2011 г. N 194-ЗО "О наделении органов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самоуправления отдельными государственными полномочиями в области охраны труда" принятие и реализация муниципальных программ улучшения условий и охраны труда являются одними из основных направлений государственной политики в области охраны труда.</w:t>
      </w:r>
    </w:p>
    <w:p w:rsidR="008320C9" w:rsidRDefault="008320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pStyle w:val="ab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Характеристика проблемы,  решение которой осуществляется путем реализации программы, включая анализ причин ее возникновения, целесообразность и необходимость её решения на уровне Аргаяшского  муниципального района программным методом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br/>
      </w:r>
    </w:p>
    <w:p w:rsidR="008320C9" w:rsidRDefault="001F4BB7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данным статистики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мониторинга вопросов охраны труда свидетельствуют о том, что в течение последних лет уровень организации условий охраны труда в  предприятиях и организациях района не на высоком уровне. 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Несмотря на позитивные тенденции, в настоящий момент охрана труда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продолжает сдерживаться следующими основными проблемами: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слабая ориентированность нормативно-правовой базы на стимулирование проведения мероприятий по улучшению условий и охраны труда. В правовой плоскости лежит решение проблем формирования системы защи</w:t>
      </w:r>
      <w:r>
        <w:rPr>
          <w:rFonts w:ascii="Times New Roman" w:hAnsi="Times New Roman" w:cs="Times New Roman"/>
          <w:color w:val="000000"/>
          <w:sz w:val="28"/>
          <w:szCs w:val="28"/>
        </w:rPr>
        <w:t>ты прав работников;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недостаточное финансовое обеспечение (либо его отсутствие) мероприятий охраны труда;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недостаточный образовательный уровень руководителей и специалистов;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отсутствие во многих организациях  специалистов  по охране труда;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>слабое обеспечение работников сертифицированными средствами индивидуальной защиты (СИЗ), соответствующие современным требованиям.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техническими причинами, устранение которых требует финансовых и материальных затрат, решение многих проблем охраны тр</w:t>
      </w:r>
      <w:r>
        <w:rPr>
          <w:rFonts w:ascii="Times New Roman" w:hAnsi="Times New Roman" w:cs="Times New Roman"/>
          <w:color w:val="000000"/>
          <w:sz w:val="28"/>
          <w:szCs w:val="28"/>
        </w:rPr>
        <w:t>уда сдерживается недостаточной организацией трудового процесса, отсутствием четкой системы управления охраной труда в организациях, недостаточным уровнем знаний требований безопасности, низкой дисциплиной труда.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указанных выше проблем невозможно бе</w:t>
      </w:r>
      <w:r>
        <w:rPr>
          <w:rFonts w:ascii="Times New Roman" w:hAnsi="Times New Roman" w:cs="Times New Roman"/>
          <w:color w:val="000000"/>
          <w:sz w:val="28"/>
          <w:szCs w:val="28"/>
        </w:rPr>
        <w:t>з взаимодействия всех уровней власти, межведомственной координации, оптимизации необходимых для проведения мероприятий по улучшению условий охраны труда организаций 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Аргаяшского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района.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Производственный травматизм в </w:t>
      </w:r>
      <w:r>
        <w:rPr>
          <w:rFonts w:ascii="Times New Roman" w:hAnsi="Times New Roman" w:cs="Times New Roman"/>
          <w:sz w:val="28"/>
          <w:szCs w:val="28"/>
        </w:rPr>
        <w:t>Аргаяш</w:t>
      </w:r>
      <w:r>
        <w:rPr>
          <w:rFonts w:ascii="Times New Roman" w:hAnsi="Times New Roman" w:cs="Times New Roman"/>
          <w:sz w:val="28"/>
          <w:szCs w:val="28"/>
        </w:rPr>
        <w:t>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производственного травматизма,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коэффициент частоты производственного травматизма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(в расчете на 1000 работающих) 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(с легким исходом) </w:t>
      </w:r>
    </w:p>
    <w:tbl>
      <w:tblPr>
        <w:tblW w:w="9996" w:type="dxa"/>
        <w:tblInd w:w="7" w:type="dxa"/>
        <w:tblLayout w:type="fixed"/>
        <w:tblLook w:val="01E0"/>
      </w:tblPr>
      <w:tblGrid>
        <w:gridCol w:w="4141"/>
        <w:gridCol w:w="1036"/>
        <w:gridCol w:w="850"/>
        <w:gridCol w:w="997"/>
        <w:gridCol w:w="1413"/>
        <w:gridCol w:w="1559"/>
      </w:tblGrid>
      <w:tr w:rsidR="008320C9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8320C9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320C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Аргаяшский муниципальный район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</w:tbl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2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дней временной нетрудоспособности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несчастным случаем на производстве 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расчёте на 1 пострадавшего</w:t>
      </w:r>
    </w:p>
    <w:tbl>
      <w:tblPr>
        <w:tblW w:w="9996" w:type="dxa"/>
        <w:tblInd w:w="7" w:type="dxa"/>
        <w:tblLayout w:type="fixed"/>
        <w:tblLook w:val="01E0"/>
      </w:tblPr>
      <w:tblGrid>
        <w:gridCol w:w="4468"/>
        <w:gridCol w:w="807"/>
        <w:gridCol w:w="880"/>
        <w:gridCol w:w="1325"/>
        <w:gridCol w:w="1205"/>
        <w:gridCol w:w="1311"/>
      </w:tblGrid>
      <w:tr w:rsidR="008320C9"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8320C9"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320C9"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(оценка)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(прогноз)</w:t>
            </w:r>
          </w:p>
        </w:tc>
      </w:tr>
    </w:tbl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причины производственного травматизма, необходимо сказать, что на протяжении последних лет они по своему характеру не изменились. 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причинами являются: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нарушение трудовой и производственной дисциплины;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недостатки в обучении безопасным условиям труда, отсутствие инструктажа по охране труда;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эксплуатация неисправных машин, оборудования, механизмов;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неудовлетворительная организация производства работ.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Профессиональная заболеваемость в </w:t>
      </w:r>
      <w:r>
        <w:rPr>
          <w:rFonts w:ascii="Times New Roman" w:hAnsi="Times New Roman" w:cs="Times New Roman"/>
          <w:sz w:val="28"/>
          <w:szCs w:val="28"/>
        </w:rPr>
        <w:t>Аргаяшском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муниципальном районе</w:t>
      </w:r>
    </w:p>
    <w:p w:rsidR="008320C9" w:rsidRDefault="001F4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3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Численность лиц с установленным профессиональным  заболеванием, человек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(по данным Роспотребнадзора)</w:t>
      </w:r>
    </w:p>
    <w:tbl>
      <w:tblPr>
        <w:tblW w:w="9996" w:type="dxa"/>
        <w:tblInd w:w="7" w:type="dxa"/>
        <w:tblLayout w:type="fixed"/>
        <w:tblLook w:val="01E0"/>
      </w:tblPr>
      <w:tblGrid>
        <w:gridCol w:w="4468"/>
        <w:gridCol w:w="850"/>
        <w:gridCol w:w="851"/>
        <w:gridCol w:w="855"/>
        <w:gridCol w:w="1555"/>
        <w:gridCol w:w="1417"/>
      </w:tblGrid>
      <w:tr w:rsidR="008320C9"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8320C9"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320C9"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(прогноз)</w:t>
            </w:r>
          </w:p>
        </w:tc>
      </w:tr>
    </w:tbl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Аргаяшском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районе в последние годы снижен общий уровень профессиональной заболеваемости.</w:t>
      </w:r>
    </w:p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Обучение по охране труда в </w:t>
      </w:r>
      <w:r>
        <w:rPr>
          <w:rFonts w:ascii="Times New Roman" w:hAnsi="Times New Roman" w:cs="Times New Roman"/>
          <w:sz w:val="28"/>
          <w:szCs w:val="28"/>
        </w:rPr>
        <w:t>Аргаяшском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Состояние условий труда, определяющее уровень производственного травматизма и профессиональную заболеваемость,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в прямой зависимости от совершенствования работы по различным направлениям управления охраной труда.</w:t>
      </w:r>
    </w:p>
    <w:p w:rsidR="008320C9" w:rsidRDefault="001F4B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Чтобы обеспечить безопасность работников в соответствии с требованиями ст. 212 Трудового кодекса РФ, работодатель обязан обеспечить обучение раб</w:t>
      </w:r>
      <w:r>
        <w:rPr>
          <w:rFonts w:ascii="Times New Roman" w:hAnsi="Times New Roman" w:cs="Times New Roman"/>
          <w:color w:val="000000"/>
          <w:sz w:val="28"/>
          <w:szCs w:val="28"/>
        </w:rPr>
        <w:t>отников безопасным методам и приемам работ, а также контроль за выполнением работниками требований охраны труда.</w:t>
      </w: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4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Численность руководителей и специалистов, прошедших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обучение по охране труда в обучающих организациях,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аккредитованных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порядке, человек</w:t>
      </w:r>
    </w:p>
    <w:tbl>
      <w:tblPr>
        <w:tblW w:w="9996" w:type="dxa"/>
        <w:tblInd w:w="7" w:type="dxa"/>
        <w:tblLayout w:type="fixed"/>
        <w:tblLook w:val="01E0"/>
      </w:tblPr>
      <w:tblGrid>
        <w:gridCol w:w="4468"/>
        <w:gridCol w:w="850"/>
        <w:gridCol w:w="851"/>
        <w:gridCol w:w="855"/>
        <w:gridCol w:w="1555"/>
        <w:gridCol w:w="1417"/>
      </w:tblGrid>
      <w:tr w:rsidR="008320C9"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8320C9"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320C9"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Аргаяшский муниципальный район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 (прогноз)</w:t>
            </w:r>
          </w:p>
        </w:tc>
      </w:tr>
    </w:tbl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Специальная оценка условий труда 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Новая идеология в области улучшения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условий и охраны труда предусматривает переход от реагирования 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профессиональными рисками на основе результатов специальной оценки условий труда.</w:t>
      </w:r>
    </w:p>
    <w:p w:rsidR="008320C9" w:rsidRDefault="001F4BB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5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рабочих мест, на которых проведена </w:t>
      </w: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специальная оценка условий труда, единиц</w:t>
      </w:r>
    </w:p>
    <w:tbl>
      <w:tblPr>
        <w:tblW w:w="9967" w:type="dxa"/>
        <w:tblInd w:w="113" w:type="dxa"/>
        <w:tblLayout w:type="fixed"/>
        <w:tblLook w:val="01E0"/>
      </w:tblPr>
      <w:tblGrid>
        <w:gridCol w:w="3365"/>
        <w:gridCol w:w="855"/>
        <w:gridCol w:w="804"/>
        <w:gridCol w:w="900"/>
        <w:gridCol w:w="1347"/>
        <w:gridCol w:w="1349"/>
        <w:gridCol w:w="1347"/>
      </w:tblGrid>
      <w:tr w:rsidR="008320C9"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6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</w:t>
            </w:r>
          </w:p>
        </w:tc>
      </w:tr>
      <w:tr w:rsidR="008320C9"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8320C9"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98%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  <w:tr w:rsidR="008320C9">
        <w:trPr>
          <w:trHeight w:val="1352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в учреждениях</w:t>
            </w:r>
          </w:p>
          <w:p w:rsidR="008320C9" w:rsidRDefault="001F4B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финансируемых из бюджета муниципального образования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  <w:p w:rsidR="008320C9" w:rsidRDefault="008320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98%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(оценка)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  <w:p w:rsidR="008320C9" w:rsidRDefault="001F4B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(прогноз)</w:t>
            </w:r>
          </w:p>
        </w:tc>
      </w:tr>
    </w:tbl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Актуальным остается вопрос специальной оценки условия труда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местах. Комплексные мероприятия Программы в том числе направлены на мотивацию руководителей организаций района к проведению специальной оценки условий труда рабочих мест, которая позволит извлечь предприятиям дополнительную экономическую выгоду.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Информационное и методическое обеспечение охраны труда 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 трудового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нормативного, правового и информационного обеспечения в области условий и охраны труда, здоровья работающих Аргаяшского  муниципального района организовывается: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подготовкой и подачей  4 - 6 статей в год в информационно</w:t>
      </w:r>
      <w:r>
        <w:rPr>
          <w:rFonts w:ascii="Times New Roman" w:hAnsi="Times New Roman" w:cs="Times New Roman"/>
          <w:sz w:val="28"/>
          <w:szCs w:val="28"/>
        </w:rPr>
        <w:t>й районной газете «Восход»;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на сайте администрации района в разделе «Охрана труда»;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информационными буклетами и методическими материалами работодателей.</w:t>
      </w:r>
    </w:p>
    <w:p w:rsidR="008320C9" w:rsidRDefault="001F4BB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Заключительные положения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Важнейшим фактором, определяющим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ость разработки и реализации Программы  в </w:t>
      </w:r>
      <w:r>
        <w:rPr>
          <w:rFonts w:ascii="Times New Roman" w:hAnsi="Times New Roman" w:cs="Times New Roman"/>
          <w:sz w:val="28"/>
          <w:szCs w:val="28"/>
        </w:rPr>
        <w:t>Аргаяшском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районе, является социальная значимость данной проблемы в части повышения качества жизни и сохранения здоровья трудоспособного населения района. 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Реализуемая Программа нацелена на дальнейшее совершенствование системы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ников в процессе трудовой деятельности, государственных гарантий и правовой защиты работающих и охраны труда, предупреждение и профилактику производственного травматизма и профессиональных заболеваний.  </w:t>
      </w:r>
    </w:p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pStyle w:val="ab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2. Основные цели и задачи  программы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ставляет собой комплексный план действий по созданию благоприятной среды для улучшения условий охраны труда на основе скоординированных действий муниципалитета, общественных организаций работников и других организаций.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стратегическими целями 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раммы является: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условий и охраны труда организаций и учреждений расположенных на территории Аргаяшского муниципального района;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 сохранения жизни и здоровья работников в процессе трудовой деятельности и снижения уровня профессионал</w:t>
      </w:r>
      <w:r>
        <w:rPr>
          <w:rFonts w:ascii="Times New Roman" w:hAnsi="Times New Roman" w:cs="Times New Roman"/>
          <w:sz w:val="28"/>
          <w:szCs w:val="28"/>
        </w:rPr>
        <w:t>ьной заболеваемости на территории Аргаяшского муниципального района;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производственного травматизма на  территории Аргаяшского муниципального района.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1. Со</w:t>
      </w:r>
      <w:r>
        <w:rPr>
          <w:rFonts w:ascii="Times New Roman" w:hAnsi="Times New Roman" w:cs="Times New Roman"/>
          <w:sz w:val="28"/>
          <w:szCs w:val="28"/>
        </w:rPr>
        <w:t>действие в информационно- методической и правовой поддержке предприятий по охране здоровья и труда работающего населения Аргаяшского муниципального района, в решении проблем снижения общего и производственного травматизма.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Оказание методической п</w:t>
      </w:r>
      <w:r>
        <w:rPr>
          <w:rFonts w:ascii="Times New Roman" w:hAnsi="Times New Roman" w:cs="Times New Roman"/>
          <w:sz w:val="28"/>
          <w:szCs w:val="28"/>
        </w:rPr>
        <w:t>омощи работодателям в организации производственного контроля за соблюдением санитарных правил, предварительных и периодических медицинских осмотров работников, в том числе занятых на работах с вредными факторами.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3. Оказание методической помощи рабо</w:t>
      </w:r>
      <w:r>
        <w:rPr>
          <w:rFonts w:ascii="Times New Roman" w:hAnsi="Times New Roman" w:cs="Times New Roman"/>
          <w:sz w:val="28"/>
          <w:szCs w:val="28"/>
        </w:rPr>
        <w:t>тодателям в организации обеспечения работников  современными и эффективными сертифицированными средствами индивидуальной и коллективной защиты.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 Методическая помощь и координация  в проведении специальной оценки условий труда на рабочих местах пре</w:t>
      </w:r>
      <w:r>
        <w:rPr>
          <w:rFonts w:ascii="Times New Roman" w:hAnsi="Times New Roman" w:cs="Times New Roman"/>
          <w:sz w:val="28"/>
          <w:szCs w:val="28"/>
        </w:rPr>
        <w:t>дприятий и получение работниками объективной информации о состоянии условий труда на их рабочих местах.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5. Обеспечение непрерывной подготовки работников по охране труда на основе современных технологий обучения.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6. Проведение мониторинга усло</w:t>
      </w:r>
      <w:r>
        <w:rPr>
          <w:rFonts w:ascii="Times New Roman" w:hAnsi="Times New Roman" w:cs="Times New Roman"/>
          <w:sz w:val="28"/>
          <w:szCs w:val="28"/>
        </w:rPr>
        <w:t>вий и охраны труда в Аргаяшском муниципальном районе.</w:t>
      </w:r>
    </w:p>
    <w:p w:rsidR="008320C9" w:rsidRDefault="008320C9">
      <w:pPr>
        <w:pStyle w:val="ab"/>
        <w:shd w:val="clear" w:color="auto" w:fill="FFFFFF"/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0C9" w:rsidRDefault="001F4BB7">
      <w:pPr>
        <w:pStyle w:val="ab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3. Сроки и этапы реализации муниципальной программы</w:t>
      </w:r>
    </w:p>
    <w:p w:rsidR="008320C9" w:rsidRDefault="001F4BB7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муниципальной программы рассчитана на 2025 - 2027 годы. Прекращение реализации программы осуществляется в случаях прекращения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 программы или необоснованного недостижения целевых индикативных показателей.</w:t>
      </w:r>
    </w:p>
    <w:p w:rsidR="008320C9" w:rsidRDefault="008320C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pStyle w:val="ac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СИСТЕМА МЕРОПРИЯТИЙ МУНИЦИПАЛЬНОЙ ПРОГРАММЫ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выполнения поставленных задач предусмотрены следующие мероприятия: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обеспечение работы межведомственной ко</w:t>
      </w:r>
      <w:r>
        <w:rPr>
          <w:rFonts w:ascii="Times New Roman" w:hAnsi="Times New Roman" w:cs="Times New Roman"/>
          <w:bCs/>
          <w:sz w:val="28"/>
          <w:szCs w:val="28"/>
        </w:rPr>
        <w:t>миссии по охране труда Аргаяшского муниципального района;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организация и проведение мероприятий в рамках Всемирного дня охраны труда (семинары-совещания, выставки, конкурсы), оказание методической помощи в проведении дней охраны труда в организациях;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>
        <w:rPr>
          <w:rFonts w:ascii="Times New Roman" w:hAnsi="Times New Roman" w:cs="Times New Roman"/>
          <w:bCs/>
          <w:sz w:val="28"/>
          <w:szCs w:val="28"/>
        </w:rPr>
        <w:t>организация участия в областном конкурсе «Лучший социально-ответственный работодатель года» в различных номинациях;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освещение в средствах массовой информации, официальном сайте администрации района основных вопросов охраны труда, пропаганда «Нулевого тр</w:t>
      </w:r>
      <w:r>
        <w:rPr>
          <w:rFonts w:ascii="Times New Roman" w:hAnsi="Times New Roman" w:cs="Times New Roman"/>
          <w:bCs/>
          <w:sz w:val="28"/>
          <w:szCs w:val="28"/>
        </w:rPr>
        <w:t>авматизма»;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организация и проведение семинаров, «круглых столов»,конкурсов, передовых достижений по вопросам охраны труда;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 оказание консультативной помощи заинтересованным лицам по охране труда;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организация проведения обучения по курсу «Охрана тру</w:t>
      </w:r>
      <w:r>
        <w:rPr>
          <w:rFonts w:ascii="Times New Roman" w:hAnsi="Times New Roman" w:cs="Times New Roman"/>
          <w:bCs/>
          <w:sz w:val="28"/>
          <w:szCs w:val="28"/>
        </w:rPr>
        <w:t>да» руководителей, специалистов в соответствии с федеральным законодательством;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8) координация, содействие в проведении специальной оценки условий труда (СОУТ) в организациях бюджетной и внебюджетной сферы деятельности.</w:t>
      </w: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 реализация переданных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нных полномочий в области охраны труда</w:t>
      </w:r>
    </w:p>
    <w:p w:rsidR="008320C9" w:rsidRDefault="008320C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0C9" w:rsidRDefault="008320C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0C9" w:rsidRDefault="001F4BB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мероприятия муниципальной программы и плановые задачи по годам указаны в таблице 6</w:t>
      </w:r>
    </w:p>
    <w:p w:rsidR="008320C9" w:rsidRDefault="008320C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0C9" w:rsidRDefault="001F4BB7">
      <w:pPr>
        <w:pStyle w:val="ac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6 </w:t>
      </w:r>
    </w:p>
    <w:p w:rsidR="008320C9" w:rsidRDefault="008320C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67" w:type="dxa"/>
        <w:tblInd w:w="113" w:type="dxa"/>
        <w:tblLayout w:type="fixed"/>
        <w:tblLook w:val="01E0"/>
      </w:tblPr>
      <w:tblGrid>
        <w:gridCol w:w="523"/>
        <w:gridCol w:w="2267"/>
        <w:gridCol w:w="2083"/>
        <w:gridCol w:w="2170"/>
        <w:gridCol w:w="919"/>
        <w:gridCol w:w="671"/>
        <w:gridCol w:w="674"/>
        <w:gridCol w:w="660"/>
      </w:tblGrid>
      <w:tr w:rsidR="008320C9">
        <w:trPr>
          <w:trHeight w:val="31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мероприятия, результатом выполнения которого является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контрольного показателя (индикатора) результата выполнения мероприятия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изм.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плановое значение показателя по годам</w:t>
            </w:r>
          </w:p>
        </w:tc>
      </w:tr>
      <w:tr w:rsidR="008320C9">
        <w:trPr>
          <w:trHeight w:val="255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8320C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Снижение числа пострадавших в результате несчастных случаев на производстве с утратой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трудоспособности на один рабочий день и более в расчете на 1 тысячу работающих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 организация участия в областном конкурсе «Лучший социально-ответственный работодатель года» в различных номинациях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Снижение числа пострадавших в результате несчастных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случаев на производстве с утратой трудоспособности на один рабочий день и более в расчете на 1 тысячу работающих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коэфф.частоты травматизма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</w:tc>
      </w:tr>
      <w:tr w:rsidR="008320C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рабочих мест, на которых проведена специальная оценка условий труда в организациях бю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джетной сферы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2.1.координация, содействие в проведении специальной оценки условий труда в организациях бюджетной и внебюджетной сферы деятельности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рабочих мест, на которых проведена специальная оценка условий труда в организациях бюджетной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сферы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320C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Содействие в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обучения работодателей и работников по охране труда на основе современных технологий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3.1.координация проведения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обучения по курсу «Охрана труда» руководителей, специалистов в соответствии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федеральным законодательством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Увеличение числа работодателей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работников, прошедших обучение по курсу «Охрана труда» в учебных центрах на основе современных технологий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8320C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работников прошедших обязательные медицинские осмо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тры и освидетельствования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4.1.Обеспечение работы межведомственной комиссии по охране труда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числа работников прошедших обязательные медицинские осмотры и освидетельствования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3000</w:t>
            </w:r>
          </w:p>
        </w:tc>
      </w:tr>
      <w:tr w:rsidR="008320C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Информационно-консультационное обеспечение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пропаганда охраны труда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 освещение в средствах массовой информации, официальном сайте района вопросов охраны труда</w:t>
            </w: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5.2.организация и проведение семинаров, «Круглых столов», конкурсов и передовых достижений в области охраны труда.</w:t>
            </w: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5.3.оказание консул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ьтационной поддержки заинтересованным лицам по вопросам охраны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труда.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Увеличение количества публикаций в районной газете «Восход» и на сайте района</w:t>
            </w: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1F4B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количества мероприятий по охране труда (семинары, «круглые столы»,выставки и др.)</w:t>
            </w:r>
          </w:p>
          <w:p w:rsidR="008320C9" w:rsidRDefault="008320C9">
            <w:pPr>
              <w:rPr>
                <w:sz w:val="24"/>
                <w:szCs w:val="24"/>
                <w:lang w:eastAsia="en-US"/>
              </w:rPr>
            </w:pPr>
          </w:p>
          <w:p w:rsidR="008320C9" w:rsidRDefault="008320C9">
            <w:pPr>
              <w:rPr>
                <w:sz w:val="24"/>
                <w:szCs w:val="24"/>
                <w:lang w:eastAsia="en-US"/>
              </w:rPr>
            </w:pPr>
          </w:p>
          <w:p w:rsidR="008320C9" w:rsidRDefault="001F4B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</w:t>
            </w:r>
            <w:r>
              <w:rPr>
                <w:sz w:val="24"/>
                <w:szCs w:val="24"/>
                <w:lang w:eastAsia="en-US"/>
              </w:rPr>
              <w:t xml:space="preserve">числа рассмотренных обращений и консультаций по </w:t>
            </w:r>
            <w:r>
              <w:rPr>
                <w:sz w:val="24"/>
                <w:szCs w:val="24"/>
                <w:lang w:eastAsia="en-US"/>
              </w:rPr>
              <w:lastRenderedPageBreak/>
              <w:t>вопросам охраны труда.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1F4BB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8320C9">
            <w:pPr>
              <w:rPr>
                <w:lang w:eastAsia="en-US"/>
              </w:rPr>
            </w:pPr>
          </w:p>
          <w:p w:rsidR="008320C9" w:rsidRDefault="001F4BB7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8320C9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320C9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Снижение числа лиц с установленным в текущем году профессиональным заболеванием в расчете на 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тысяч работающих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 в рамках Всемирного дня охраны труда, оказание методической помощи.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числа лиц с установленным в текущем году профессиональным заболеванием в расчете на 10 тысяч работающих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c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8320C9" w:rsidRDefault="008320C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0C9" w:rsidRDefault="001F4BB7">
      <w:pPr>
        <w:pStyle w:val="ac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 xml:space="preserve">5. Ресурсное </w:t>
      </w: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обеспечение муниципальной программы</w:t>
      </w:r>
    </w:p>
    <w:p w:rsidR="008320C9" w:rsidRDefault="008320C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Источником финансирования мероприятий муниципальной программы являются средства областного и местного бюджетов. Общий объем финансирования муниципальной программы в 2025-2027 годах на проведение мероприятий по улучшению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ситуации в области охраны труда в Аргаяшском муниципальном районе составит 2461,8 тыс. рублей, в том числе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 счет средств областного бюджета – 2401,8 тыс. рублей, в том числе: 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 800,6 тыс. рублей;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 год – 800,6 тыс. рублей;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2027 год – 800</w:t>
      </w:r>
      <w:r>
        <w:rPr>
          <w:rFonts w:ascii="Times New Roman" w:hAnsi="Times New Roman" w:cs="Times New Roman"/>
          <w:color w:val="000000"/>
          <w:sz w:val="28"/>
          <w:szCs w:val="28"/>
        </w:rPr>
        <w:t>,6  тыс. рублей.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за счет средств районного бюджета – 60,0 тыс. рублей, в том числе:</w:t>
      </w:r>
    </w:p>
    <w:p w:rsidR="008320C9" w:rsidRDefault="001F4B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2025 год – 20,0 тыс. рублей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2026 год – 20,0 тыс. рублей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2027 год – 20,0 тыс.рублей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Объемы финансирования  Программы могут корректироваться с учетом доходов местного бюдж</w:t>
      </w:r>
      <w:r>
        <w:rPr>
          <w:rFonts w:ascii="Times New Roman" w:hAnsi="Times New Roman" w:cs="Times New Roman"/>
          <w:color w:val="000000"/>
          <w:sz w:val="28"/>
          <w:szCs w:val="28"/>
        </w:rPr>
        <w:t>ета на соответствующий финансовый год и плановый период.</w:t>
      </w: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1F4BB7">
      <w:pPr>
        <w:pStyle w:val="ab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</w:r>
    </w:p>
    <w:p w:rsidR="008320C9" w:rsidRDefault="008320C9">
      <w:pPr>
        <w:pStyle w:val="ab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1F4BB7">
      <w:pPr>
        <w:pStyle w:val="ab"/>
        <w:shd w:val="clear" w:color="auto" w:fill="FFFFFF"/>
        <w:tabs>
          <w:tab w:val="left" w:pos="8475"/>
          <w:tab w:val="right" w:pos="9751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таблица 7</w:t>
      </w: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61" w:type="dxa"/>
        <w:tblInd w:w="833" w:type="dxa"/>
        <w:tblLayout w:type="fixed"/>
        <w:tblLook w:val="01E0"/>
      </w:tblPr>
      <w:tblGrid>
        <w:gridCol w:w="651"/>
        <w:gridCol w:w="1965"/>
        <w:gridCol w:w="102"/>
        <w:gridCol w:w="1844"/>
        <w:gridCol w:w="1538"/>
        <w:gridCol w:w="203"/>
        <w:gridCol w:w="730"/>
        <w:gridCol w:w="726"/>
        <w:gridCol w:w="22"/>
        <w:gridCol w:w="6"/>
        <w:gridCol w:w="866"/>
        <w:gridCol w:w="236"/>
        <w:gridCol w:w="236"/>
        <w:gridCol w:w="236"/>
      </w:tblGrid>
      <w:tr w:rsidR="008320C9">
        <w:trPr>
          <w:trHeight w:val="525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Плановый оббьем финансирования мероприятия, тыс.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435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2027г.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1465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Снижение числа пострадавших в результате несчастных случаев на производстве с утратой трудоспособности на один рабочий день и более в расчете на 1 тысячу работающих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23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работы межведомственной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комиссии в Аргаяшском муниципальном районе</w:t>
            </w: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rPr>
                <w:b/>
                <w:sz w:val="24"/>
                <w:szCs w:val="24"/>
              </w:rPr>
            </w:pPr>
          </w:p>
          <w:p w:rsidR="008320C9" w:rsidRDefault="001F4BB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участия в</w:t>
            </w:r>
          </w:p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областном конкурсе «Лучший социально-ответственный работодатель года» в различных номинациях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АМР,</w:t>
            </w: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работодатели,</w:t>
            </w: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главы сельских поселений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1250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рабочих мест, на которых проведена специальная оценка условий труда в организациях бюджетной сферы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196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Координация, содействие в проведении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СОУТ в организациях бюджетной и внебюджетной сферы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Администрация 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Освещение в СМИ, официальном сайте администрации основных вопросов охраны труда, пропаганда «Нулевого травматизма»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1035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работодателей и работников, прошедших обучение по курсу «Охрана труда» в учебных курсах на основе современных технологий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21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Координация проведения обучения по курсу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«Охрана труда» руководителей , специалистов в соответствии с федеральным законодательством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работодатели,</w:t>
            </w: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главы сельских поселений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семинаров, «Круглых столов», конкурсов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передовых достижений в области охраны труда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  <w:p w:rsidR="008320C9" w:rsidRDefault="008320C9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630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Увеличение числа работников прошедших обязательные медицинские осмотры и освидетельствования</w:t>
            </w:r>
          </w:p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21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содействия работодателям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проведении обязательных медицинских осмотров и освидетельствований</w:t>
            </w: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 работодатели,</w:t>
            </w: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главы сельских поселений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975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Информационно –консультационное обеспечение и пропаганда охраны труда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6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количества публикаций в районной газете</w:t>
            </w:r>
          </w:p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«Восход» и на сайте района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320C9">
        <w:trPr>
          <w:trHeight w:val="69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числа рассмотренных обращений и консультаций по вопросам охраны труда</w:t>
            </w: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320C9">
        <w:trPr>
          <w:trHeight w:val="192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мероприятий по охране труда (семинары, выставки, участие в «Клубе кадровика»</w:t>
            </w: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320C9">
        <w:trPr>
          <w:trHeight w:val="450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Снижение числа лиц с установленным в текущем году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профессиональным заболеванием в расчете на 10 тысяч работающих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310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мероприятий в раках Всемирного дня охраны труда, оказание методической помощи в проведении дней охраны труда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АМР,</w:t>
            </w: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работодатели,</w:t>
            </w:r>
          </w:p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главы сельских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316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Освещение в средствах массовой информации, официальном сайте района передовые достижения в области охраны труда, пропаганда «Нулевого травматизма»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1F4B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20C9" w:rsidRDefault="008320C9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Финансирование не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предусмотрено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rPr>
          <w:trHeight w:val="555"/>
        </w:trPr>
        <w:tc>
          <w:tcPr>
            <w:tcW w:w="9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12" w:type="dxa"/>
          </w:tcPr>
          <w:p w:rsidR="008320C9" w:rsidRDefault="008320C9"/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  <w:tr w:rsidR="008320C9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осуществления органами местного самоуправления Аргаяшского муниципального района переданных отдельных государственных полномочий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области охраны труда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АМР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800,6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800,6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C9" w:rsidRDefault="001F4B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800,6</w:t>
            </w:r>
          </w:p>
        </w:tc>
        <w:tc>
          <w:tcPr>
            <w:tcW w:w="88" w:type="dxa"/>
          </w:tcPr>
          <w:p w:rsidR="008320C9" w:rsidRDefault="008320C9"/>
        </w:tc>
        <w:tc>
          <w:tcPr>
            <w:tcW w:w="14" w:type="dxa"/>
          </w:tcPr>
          <w:p w:rsidR="008320C9" w:rsidRDefault="008320C9"/>
        </w:tc>
      </w:tr>
    </w:tbl>
    <w:p w:rsidR="008320C9" w:rsidRDefault="008320C9">
      <w:pPr>
        <w:pStyle w:val="ab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0C9" w:rsidRDefault="008320C9">
      <w:pPr>
        <w:pStyle w:val="ab"/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0C9" w:rsidRDefault="001F4BB7">
      <w:pPr>
        <w:pStyle w:val="ab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6. Организация управления  (механизм реализации)  ПрограмМЫ, включая контроль за ходом ее исполнения</w:t>
      </w:r>
    </w:p>
    <w:p w:rsidR="008320C9" w:rsidRDefault="008320C9">
      <w:pPr>
        <w:pStyle w:val="ab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реализации Программы – это система программных мероприятий,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связанных между собой по срокам, ресурсам и  обеспечивающих достижение намеченных результатов.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качестве исполнителя муниципальной программы: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организует реализацию муниципальной программы и несёт ответств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енность за достижение целевых индикаторов и показателей муниципальной программы и конечных результатов её реализации.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определяет формы и методы управления реализации муниципальной программы.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осуществляет текущее управление реализации муниципальной пр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ограммы.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определяет процедуры обеспечения публичности информации о значениях целевых индикаторов и показателей, результатов мониторинга реализации муниципальной программы, программных мероприятиях и об условиях участия в них исполнителей, а также о 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одимых конкурсах и критериях определения победителей.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запрашивает у работодателей информацию, необходимую для подготовки ответов на запросы Главного управления по труду и занятости населения и для подготовки ежеквартальных и годового отчёта.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Общее ру</w:t>
      </w:r>
      <w:r>
        <w:rPr>
          <w:rFonts w:ascii="Times New Roman" w:hAnsi="Times New Roman" w:cs="Times New Roman"/>
          <w:color w:val="000000"/>
          <w:sz w:val="28"/>
          <w:szCs w:val="28"/>
        </w:rPr>
        <w:t>ководство и контроль за исполнением Программы осуществляет заместитель главы муниципального района.</w:t>
      </w:r>
    </w:p>
    <w:p w:rsidR="008320C9" w:rsidRDefault="00832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 администрации  района с учетом выделяемых на реализацию Программы финансовых средств, выделенных из бюджетных средств, ежегодно уточ</w:t>
      </w:r>
      <w:r>
        <w:rPr>
          <w:rFonts w:ascii="Times New Roman" w:hAnsi="Times New Roman" w:cs="Times New Roman"/>
          <w:color w:val="000000"/>
          <w:sz w:val="28"/>
          <w:szCs w:val="28"/>
        </w:rPr>
        <w:t>няет целевые показатели, согласовывает сроки и затраты по программным мероприятиям, объемы и источники финансирования, механизм реализации Программы, состав исполнителей.</w:t>
      </w:r>
    </w:p>
    <w:p w:rsidR="008320C9" w:rsidRDefault="008320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7. СОЦИАЛЬНЫЕ И ЭКОНОМИЧЕСКИЕ ПОСЛЕДСТВИЯ ПРОГРАММЫ</w:t>
      </w:r>
    </w:p>
    <w:p w:rsidR="008320C9" w:rsidRDefault="008320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сформирована и реали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зуется как единый комплекс организационных, методических, санитарно-гигиенических, учебно-пропагандистских, производственных и других мероприятий, обеспечивающих достижение поставленных целей.        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Ожидаемые социальные последствия от достижения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стратегических целей и выполнения мероприятий Программы выразятся в:</w:t>
      </w:r>
    </w:p>
    <w:p w:rsidR="008320C9" w:rsidRDefault="001F4BB7">
      <w:pPr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несчастных случаев на производстве;</w:t>
      </w:r>
    </w:p>
    <w:p w:rsidR="008320C9" w:rsidRDefault="001F4BB7">
      <w:pPr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смертности среди трудоспособного населения от предотвратимых причин;</w:t>
      </w:r>
    </w:p>
    <w:p w:rsidR="008320C9" w:rsidRDefault="001F4BB7">
      <w:pPr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труда работников </w:t>
      </w:r>
      <w:r>
        <w:rPr>
          <w:rFonts w:ascii="Times New Roman" w:hAnsi="Times New Roman" w:cs="Times New Roman"/>
          <w:sz w:val="28"/>
          <w:szCs w:val="28"/>
        </w:rPr>
        <w:t>организаций, расположенных на территории Аргаяшского муниципального района;</w:t>
      </w: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Ожидаемые экономические последствия, полученные в результате реализации мероприятий Программы выразятся в:</w:t>
      </w:r>
    </w:p>
    <w:p w:rsidR="008320C9" w:rsidRDefault="001F4BB7">
      <w:pPr>
        <w:numPr>
          <w:ilvl w:val="0"/>
          <w:numId w:val="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снижении затрат на компенсационные выплаты, связанные с неблагоприятными </w:t>
      </w:r>
      <w:r>
        <w:rPr>
          <w:rFonts w:ascii="Times New Roman" w:hAnsi="Times New Roman" w:cs="Times New Roman"/>
          <w:sz w:val="28"/>
          <w:szCs w:val="28"/>
        </w:rPr>
        <w:t>условиями труда, работникам организаций и предприятий района;</w:t>
      </w:r>
    </w:p>
    <w:p w:rsidR="008320C9" w:rsidRDefault="001F4BB7">
      <w:pPr>
        <w:numPr>
          <w:ilvl w:val="0"/>
          <w:numId w:val="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затрат на выплаты по обязательному социальному страхованию от несчастных случаев на производстве;</w:t>
      </w:r>
    </w:p>
    <w:p w:rsidR="008320C9" w:rsidRDefault="001F4BB7">
      <w:pPr>
        <w:numPr>
          <w:ilvl w:val="0"/>
          <w:numId w:val="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работодателей от уплаты страховых взносов в Пенсионный фонд РФ по дополнит</w:t>
      </w:r>
      <w:r>
        <w:rPr>
          <w:rFonts w:ascii="Times New Roman" w:hAnsi="Times New Roman" w:cs="Times New Roman"/>
          <w:sz w:val="28"/>
          <w:szCs w:val="28"/>
        </w:rPr>
        <w:t>ельным тарифам, при улучшении условий труда в соответствии с государственными требованиями и стандартами охраны труда.</w:t>
      </w:r>
    </w:p>
    <w:p w:rsidR="008320C9" w:rsidRDefault="001F4BB7">
      <w:pPr>
        <w:numPr>
          <w:ilvl w:val="0"/>
          <w:numId w:val="2"/>
        </w:num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муниципальной программы обеспечит исполнение администрацией Аргаяшского муниципального района переданных госуда</w:t>
      </w:r>
      <w:r>
        <w:rPr>
          <w:rFonts w:ascii="Times New Roman" w:hAnsi="Times New Roman" w:cs="Times New Roman"/>
          <w:sz w:val="28"/>
          <w:szCs w:val="28"/>
        </w:rPr>
        <w:t>рственных полномочий в области охраны труда, результативность и целевое использование бюджетных средств.</w:t>
      </w: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8320C9" w:rsidRDefault="001F4BB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«Улучшение условий и охраны труда в Аргаяшском муниципальном районе»</w:t>
      </w:r>
    </w:p>
    <w:p w:rsidR="008320C9" w:rsidRDefault="001F4BB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</w:t>
      </w:r>
      <w:r>
        <w:rPr>
          <w:rFonts w:ascii="Times New Roman" w:hAnsi="Times New Roman" w:cs="Times New Roman"/>
          <w:sz w:val="28"/>
          <w:szCs w:val="28"/>
        </w:rPr>
        <w:t>027 годы</w:t>
      </w:r>
    </w:p>
    <w:p w:rsidR="008320C9" w:rsidRDefault="008320C9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Аргаяшского муниципального района «Улучшение условий и охраны труда в Аргаяшском муниципальном районе» на 2025-2027 годы разработан в соответствии с постановлением администрации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02 октября 2013 г. № 1748 «Об утверждении Порядка разработки, реализации и оценки эффективности муниципальных программ Аргаяшского муниципального района».</w:t>
      </w:r>
    </w:p>
    <w:p w:rsidR="008320C9" w:rsidRDefault="008320C9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предлагается реализовать следующие мероприятия требующие финансирования:</w:t>
      </w:r>
    </w:p>
    <w:p w:rsidR="008320C9" w:rsidRDefault="001F4BB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координация проведения обучения по курсу «Охрана труда» руководителей, специалистов в соответствии с федеральным законодательством.</w:t>
      </w:r>
    </w:p>
    <w:p w:rsidR="008320C9" w:rsidRDefault="001F4BB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данного мероприятия ежегодно планируется направлять финансирование в объеме 20000 рублей.</w:t>
      </w:r>
    </w:p>
    <w:p w:rsidR="008320C9" w:rsidRDefault="001F4BB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Закупки товаров, </w:t>
      </w:r>
      <w:r>
        <w:rPr>
          <w:rFonts w:ascii="Times New Roman" w:hAnsi="Times New Roman" w:cs="Times New Roman"/>
          <w:sz w:val="28"/>
          <w:szCs w:val="28"/>
        </w:rPr>
        <w:t>работ и услуг будут осуществляться в рамках Федерального закона «О контрактной системе в сфере закупок товаров, работ, услуг обеспечения государственных и муниципальных нужд» от 05.04.2013 г. № 44-ФЗ.</w:t>
      </w:r>
    </w:p>
    <w:p w:rsidR="008320C9" w:rsidRDefault="001F4BB7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Средства на реализацию мероприятия программы предусмотр</w:t>
      </w:r>
      <w:r>
        <w:rPr>
          <w:rFonts w:ascii="Times New Roman" w:hAnsi="Times New Roman" w:cs="Times New Roman"/>
          <w:sz w:val="28"/>
          <w:szCs w:val="28"/>
        </w:rPr>
        <w:t>ены в полном объеме в проекте бюджета Аргаяшского муниципального района на 2025 год.</w:t>
      </w:r>
    </w:p>
    <w:p w:rsidR="008320C9" w:rsidRDefault="008320C9">
      <w:pPr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охране труда</w:t>
      </w: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государственных</w:t>
      </w: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в области охраны труда                                  Ахметжанов Р.А.</w:t>
      </w: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right="-2" w:firstLine="709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</w:t>
      </w:r>
      <w:r>
        <w:rPr>
          <w:rFonts w:ascii="Times New Roman" w:hAnsi="Times New Roman" w:cs="Times New Roman"/>
          <w:sz w:val="28"/>
          <w:szCs w:val="28"/>
        </w:rPr>
        <w:t>ельная записка</w:t>
      </w:r>
    </w:p>
    <w:p w:rsidR="008320C9" w:rsidRDefault="001F4BB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муниципальной программы «Улучшение условий и охраны труда в Аргаяшском муниципальном районе»</w:t>
      </w:r>
    </w:p>
    <w:p w:rsidR="008320C9" w:rsidRDefault="001F4BB7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2025-2027 годы</w:t>
      </w:r>
    </w:p>
    <w:p w:rsidR="008320C9" w:rsidRDefault="008320C9">
      <w:pPr>
        <w:spacing w:after="0" w:line="240" w:lineRule="auto"/>
        <w:ind w:left="70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Аргаяшского муниципального района «Улучшение условий и охраны труда в Аргаяшском </w:t>
      </w:r>
      <w:r>
        <w:rPr>
          <w:rFonts w:ascii="Times New Roman" w:hAnsi="Times New Roman" w:cs="Times New Roman"/>
          <w:sz w:val="28"/>
          <w:szCs w:val="28"/>
        </w:rPr>
        <w:t>муниципальном районе» на 2025-2027 годы разработан в соответствии с постановлением администрации Аргаяшского муниципального района от 02 октября 2013 г. № 1748 «Об утверждении Порядка разработки, реализации и оценки эффективности муниципальных программ Арг</w:t>
      </w:r>
      <w:r>
        <w:rPr>
          <w:rFonts w:ascii="Times New Roman" w:hAnsi="Times New Roman" w:cs="Times New Roman"/>
          <w:sz w:val="28"/>
          <w:szCs w:val="28"/>
        </w:rPr>
        <w:t>аяшского муниципального района».</w:t>
      </w: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социальная значимость данной проблемы в части повышения качества жизни и сохранения здоровья трудоспособного населения района. Программа нацелена на дальнейшее совершенствование систе</w:t>
      </w:r>
      <w:r>
        <w:rPr>
          <w:rFonts w:ascii="Times New Roman" w:hAnsi="Times New Roman" w:cs="Times New Roman"/>
          <w:color w:val="000000"/>
          <w:sz w:val="28"/>
          <w:szCs w:val="28"/>
        </w:rPr>
        <w:t>мы государственного управления охраной труда, соответствующей новым экономическим и трудовым отношениям, обеспечение условий труда, отвечающих требованиям сохранения жизни и здоровья работников в процессе трудовой деятельности, государственных гарантий 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равовой защиты работающих и охраны труда, предупреждение и профилактику производственного травматизма и профессиональных заболеваний. </w:t>
      </w:r>
    </w:p>
    <w:p w:rsidR="008320C9" w:rsidRDefault="001F4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объём финансирования муниципальной программы  из местного бюджета составляет 60, 0 тысяч рублей.</w:t>
      </w: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Объём средств на р</w:t>
      </w:r>
      <w:r>
        <w:rPr>
          <w:rFonts w:ascii="Times New Roman" w:hAnsi="Times New Roman" w:cs="Times New Roman"/>
          <w:sz w:val="28"/>
          <w:szCs w:val="28"/>
        </w:rPr>
        <w:t xml:space="preserve">еализацию мероприятий муниципальной программы могут корректироваться. </w:t>
      </w: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охране труда</w:t>
      </w: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государственных</w:t>
      </w:r>
    </w:p>
    <w:p w:rsidR="008320C9" w:rsidRDefault="001F4BB7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в области охраны труда                                  Ахметжанов Р.А.</w:t>
      </w:r>
    </w:p>
    <w:p w:rsidR="008320C9" w:rsidRDefault="008320C9">
      <w:pPr>
        <w:spacing w:after="0" w:line="240" w:lineRule="auto"/>
        <w:ind w:left="709" w:right="-2"/>
        <w:rPr>
          <w:rFonts w:ascii="Times New Roman" w:hAnsi="Times New Roman" w:cs="Times New Roman"/>
          <w:sz w:val="28"/>
          <w:szCs w:val="28"/>
        </w:rPr>
      </w:pPr>
    </w:p>
    <w:sectPr w:rsidR="008320C9" w:rsidSect="008320C9">
      <w:headerReference w:type="even" r:id="rId7"/>
      <w:headerReference w:type="default" r:id="rId8"/>
      <w:headerReference w:type="first" r:id="rId9"/>
      <w:pgSz w:w="11906" w:h="16838"/>
      <w:pgMar w:top="1134" w:right="851" w:bottom="709" w:left="130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BB7" w:rsidRDefault="001F4BB7" w:rsidP="008320C9">
      <w:pPr>
        <w:spacing w:after="0" w:line="240" w:lineRule="auto"/>
      </w:pPr>
      <w:r>
        <w:separator/>
      </w:r>
    </w:p>
  </w:endnote>
  <w:endnote w:type="continuationSeparator" w:id="1">
    <w:p w:rsidR="001F4BB7" w:rsidRDefault="001F4BB7" w:rsidP="0083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BB7" w:rsidRDefault="001F4BB7" w:rsidP="008320C9">
      <w:pPr>
        <w:spacing w:after="0" w:line="240" w:lineRule="auto"/>
      </w:pPr>
      <w:r>
        <w:separator/>
      </w:r>
    </w:p>
  </w:footnote>
  <w:footnote w:type="continuationSeparator" w:id="1">
    <w:p w:rsidR="001F4BB7" w:rsidRDefault="001F4BB7" w:rsidP="0083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C9" w:rsidRDefault="008320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C9" w:rsidRDefault="008320C9">
    <w:pPr>
      <w:pStyle w:val="Header"/>
      <w:jc w:val="center"/>
    </w:pPr>
  </w:p>
  <w:p w:rsidR="008320C9" w:rsidRDefault="008320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C9" w:rsidRDefault="008320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70DB"/>
    <w:multiLevelType w:val="multilevel"/>
    <w:tmpl w:val="99CE00A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57C77D9"/>
    <w:multiLevelType w:val="multilevel"/>
    <w:tmpl w:val="42D69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2C3E3D"/>
    <w:multiLevelType w:val="multilevel"/>
    <w:tmpl w:val="D406A80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C9"/>
    <w:rsid w:val="001F4BB7"/>
    <w:rsid w:val="00211E8B"/>
    <w:rsid w:val="0083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0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6C7366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qFormat/>
    <w:locked/>
    <w:rsid w:val="007C1BBE"/>
    <w:rPr>
      <w:rFonts w:ascii="Times New Roman" w:hAnsi="Times New Roman" w:cs="Times New Roman"/>
      <w:sz w:val="2"/>
      <w:szCs w:val="2"/>
    </w:rPr>
  </w:style>
  <w:style w:type="character" w:customStyle="1" w:styleId="HeaderChar">
    <w:name w:val="Header Char"/>
    <w:basedOn w:val="a0"/>
    <w:link w:val="Header"/>
    <w:uiPriority w:val="99"/>
    <w:qFormat/>
    <w:locked/>
    <w:rsid w:val="00011545"/>
    <w:rPr>
      <w:rFonts w:cs="Calibri"/>
    </w:rPr>
  </w:style>
  <w:style w:type="character" w:customStyle="1" w:styleId="FooterChar">
    <w:name w:val="Footer Char"/>
    <w:basedOn w:val="a0"/>
    <w:link w:val="Footer"/>
    <w:uiPriority w:val="99"/>
    <w:semiHidden/>
    <w:qFormat/>
    <w:locked/>
    <w:rsid w:val="00011545"/>
    <w:rPr>
      <w:rFonts w:cs="Calibri"/>
    </w:rPr>
  </w:style>
  <w:style w:type="paragraph" w:customStyle="1" w:styleId="a7">
    <w:name w:val="Заголовок"/>
    <w:basedOn w:val="a"/>
    <w:next w:val="a8"/>
    <w:qFormat/>
    <w:rsid w:val="008320C9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rsid w:val="008320C9"/>
    <w:pPr>
      <w:spacing w:after="140"/>
    </w:pPr>
  </w:style>
  <w:style w:type="paragraph" w:styleId="a9">
    <w:name w:val="List"/>
    <w:basedOn w:val="a8"/>
    <w:rsid w:val="008320C9"/>
    <w:rPr>
      <w:rFonts w:ascii="PT Astra Serif" w:hAnsi="PT Astra Serif" w:cs="FreeSans"/>
    </w:rPr>
  </w:style>
  <w:style w:type="paragraph" w:customStyle="1" w:styleId="Caption">
    <w:name w:val="Caption"/>
    <w:basedOn w:val="a"/>
    <w:qFormat/>
    <w:rsid w:val="008320C9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a">
    <w:name w:val="index heading"/>
    <w:basedOn w:val="a"/>
    <w:qFormat/>
    <w:rsid w:val="008320C9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link w:val="a3"/>
    <w:uiPriority w:val="99"/>
    <w:qFormat/>
    <w:rsid w:val="006C7366"/>
    <w:pPr>
      <w:spacing w:after="0" w:line="240" w:lineRule="auto"/>
      <w:ind w:right="6237"/>
      <w:jc w:val="center"/>
    </w:pPr>
  </w:style>
  <w:style w:type="paragraph" w:styleId="ab">
    <w:name w:val="List Paragraph"/>
    <w:basedOn w:val="a"/>
    <w:uiPriority w:val="99"/>
    <w:qFormat/>
    <w:rsid w:val="00CD3DA1"/>
    <w:pPr>
      <w:ind w:left="720"/>
    </w:pPr>
  </w:style>
  <w:style w:type="paragraph" w:styleId="ac">
    <w:name w:val="No Spacing"/>
    <w:uiPriority w:val="99"/>
    <w:qFormat/>
    <w:rsid w:val="00A605E6"/>
    <w:rPr>
      <w:rFonts w:cs="Calibri"/>
      <w:lang w:eastAsia="en-US"/>
    </w:rPr>
  </w:style>
  <w:style w:type="paragraph" w:styleId="a6">
    <w:name w:val="Balloon Text"/>
    <w:basedOn w:val="a"/>
    <w:link w:val="a5"/>
    <w:uiPriority w:val="99"/>
    <w:semiHidden/>
    <w:qFormat/>
    <w:rsid w:val="00835701"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rsid w:val="008320C9"/>
  </w:style>
  <w:style w:type="paragraph" w:customStyle="1" w:styleId="Header">
    <w:name w:val="Header"/>
    <w:basedOn w:val="a"/>
    <w:link w:val="HeaderChar"/>
    <w:uiPriority w:val="99"/>
    <w:rsid w:val="0001154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FooterChar"/>
    <w:uiPriority w:val="99"/>
    <w:semiHidden/>
    <w:rsid w:val="0001154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5D7C99"/>
    <w:pPr>
      <w:widowControl w:val="0"/>
      <w:ind w:firstLine="720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99"/>
    <w:rsid w:val="00A65EB8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7061</TotalTime>
  <Pages>21</Pages>
  <Words>4694</Words>
  <Characters>26762</Characters>
  <Application>Microsoft Office Word</Application>
  <DocSecurity>0</DocSecurity>
  <Lines>223</Lines>
  <Paragraphs>62</Paragraphs>
  <ScaleCrop>false</ScaleCrop>
  <Company/>
  <LinksUpToDate>false</LinksUpToDate>
  <CharactersWithSpaces>31394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A</cp:lastModifiedBy>
  <cp:revision>146</cp:revision>
  <cp:lastPrinted>2024-12-20T13:51:00Z</cp:lastPrinted>
  <dcterms:created xsi:type="dcterms:W3CDTF">2013-04-09T09:31:00Z</dcterms:created>
  <dcterms:modified xsi:type="dcterms:W3CDTF">2024-12-25T06:07:00Z</dcterms:modified>
  <dc:language>ru-RU</dc:language>
</cp:coreProperties>
</file>