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6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960"/>
      </w:tblGrid>
      <w:tr w:rsidR="00D82F99" w:rsidRPr="00D40227" w:rsidTr="0027696C">
        <w:trPr>
          <w:trHeight w:val="1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82F99" w:rsidRPr="00D40227" w:rsidRDefault="00D82F99" w:rsidP="00E335F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2724" w:rsidRDefault="007A2724" w:rsidP="007A272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</w:t>
            </w:r>
            <w:r w:rsidRPr="00665E13">
              <w:rPr>
                <w:sz w:val="28"/>
                <w:szCs w:val="28"/>
                <w:u w:val="none"/>
              </w:rPr>
              <w:t xml:space="preserve">Аргаяшского муниципального района </w:t>
            </w:r>
          </w:p>
          <w:p w:rsidR="00D82F99" w:rsidRPr="00E335FA" w:rsidRDefault="007A2724" w:rsidP="007A2724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от «</w:t>
            </w:r>
            <w:r w:rsidR="005F48AB">
              <w:rPr>
                <w:sz w:val="28"/>
                <w:szCs w:val="28"/>
                <w:u w:val="none"/>
              </w:rPr>
              <w:t>___</w:t>
            </w:r>
            <w:r>
              <w:rPr>
                <w:sz w:val="28"/>
                <w:szCs w:val="28"/>
                <w:u w:val="none"/>
              </w:rPr>
              <w:t xml:space="preserve">» </w:t>
            </w:r>
            <w:r w:rsidR="005F48AB">
              <w:rPr>
                <w:sz w:val="28"/>
                <w:szCs w:val="28"/>
                <w:u w:val="none"/>
              </w:rPr>
              <w:t>__________</w:t>
            </w:r>
            <w:r>
              <w:rPr>
                <w:sz w:val="28"/>
                <w:szCs w:val="28"/>
                <w:u w:val="none"/>
              </w:rPr>
              <w:t xml:space="preserve"> 202</w:t>
            </w:r>
            <w:r w:rsidR="005F48AB">
              <w:rPr>
                <w:sz w:val="28"/>
                <w:szCs w:val="28"/>
                <w:u w:val="none"/>
              </w:rPr>
              <w:t>__</w:t>
            </w:r>
            <w:r w:rsidRPr="00665E13">
              <w:rPr>
                <w:sz w:val="28"/>
                <w:szCs w:val="28"/>
                <w:u w:val="none"/>
              </w:rPr>
              <w:t xml:space="preserve"> г. №</w:t>
            </w:r>
            <w:r w:rsidR="005F48AB">
              <w:rPr>
                <w:sz w:val="28"/>
                <w:szCs w:val="28"/>
                <w:u w:val="none"/>
              </w:rPr>
              <w:t>____</w:t>
            </w:r>
          </w:p>
        </w:tc>
      </w:tr>
    </w:tbl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40227">
      <w:pPr>
        <w:rPr>
          <w:rFonts w:ascii="Times New Roman" w:hAnsi="Times New Roman" w:cs="Times New Roman"/>
          <w:sz w:val="24"/>
          <w:szCs w:val="24"/>
        </w:rPr>
      </w:pPr>
    </w:p>
    <w:p w:rsidR="00665E13" w:rsidRPr="00665E13" w:rsidRDefault="0027696C" w:rsidP="00665E13">
      <w:pPr>
        <w:pStyle w:val="afffb"/>
        <w:jc w:val="center"/>
        <w:rPr>
          <w:sz w:val="48"/>
          <w:szCs w:val="48"/>
          <w:u w:val="none"/>
        </w:rPr>
      </w:pPr>
      <w:r>
        <w:rPr>
          <w:sz w:val="48"/>
          <w:szCs w:val="48"/>
          <w:u w:val="none"/>
        </w:rPr>
        <w:t>М</w:t>
      </w:r>
      <w:r w:rsidR="00D82F99" w:rsidRPr="00665E13">
        <w:rPr>
          <w:sz w:val="48"/>
          <w:szCs w:val="48"/>
          <w:u w:val="none"/>
        </w:rPr>
        <w:t>униципальн</w:t>
      </w:r>
      <w:r>
        <w:rPr>
          <w:sz w:val="48"/>
          <w:szCs w:val="48"/>
          <w:u w:val="none"/>
        </w:rPr>
        <w:t>ая</w:t>
      </w:r>
      <w:r w:rsidR="00D82F99" w:rsidRPr="00665E13">
        <w:rPr>
          <w:sz w:val="48"/>
          <w:szCs w:val="48"/>
          <w:u w:val="none"/>
        </w:rPr>
        <w:t xml:space="preserve"> программ</w:t>
      </w:r>
      <w:r>
        <w:rPr>
          <w:sz w:val="48"/>
          <w:szCs w:val="48"/>
          <w:u w:val="none"/>
        </w:rPr>
        <w:t>а</w:t>
      </w:r>
    </w:p>
    <w:p w:rsidR="00D82F99" w:rsidRPr="00665E13" w:rsidRDefault="00D82F99" w:rsidP="00665E13">
      <w:pPr>
        <w:pStyle w:val="afffb"/>
        <w:jc w:val="center"/>
        <w:rPr>
          <w:sz w:val="48"/>
          <w:szCs w:val="48"/>
          <w:u w:val="none"/>
        </w:rPr>
      </w:pPr>
      <w:r w:rsidRPr="00665E13">
        <w:rPr>
          <w:sz w:val="48"/>
          <w:szCs w:val="48"/>
          <w:u w:val="none"/>
        </w:rPr>
        <w:t>«Реализация молодежной политики в Аргаяшском муниципальном районе»</w:t>
      </w: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2F99" w:rsidRPr="00D40227" w:rsidRDefault="00D82F99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Pr="00D40227" w:rsidRDefault="00D40227" w:rsidP="00D82F99">
      <w:pPr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0227" w:rsidRDefault="00D40227" w:rsidP="00D402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35FA" w:rsidRDefault="00E335FA" w:rsidP="003E10A5">
      <w:pPr>
        <w:rPr>
          <w:rFonts w:ascii="Times New Roman" w:hAnsi="Times New Roman" w:cs="Times New Roman"/>
          <w:sz w:val="24"/>
          <w:szCs w:val="24"/>
        </w:rPr>
      </w:pPr>
    </w:p>
    <w:p w:rsidR="00E335FA" w:rsidRPr="00E335FA" w:rsidRDefault="002C1A44" w:rsidP="00E335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202</w:t>
      </w:r>
      <w:r w:rsidR="00B61B0F">
        <w:rPr>
          <w:rFonts w:ascii="Times New Roman" w:hAnsi="Times New Roman" w:cs="Times New Roman"/>
          <w:sz w:val="28"/>
          <w:szCs w:val="28"/>
        </w:rPr>
        <w:t>3</w:t>
      </w:r>
      <w:r w:rsidR="00D82F99" w:rsidRPr="00665E1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48AB" w:rsidRPr="00665E13" w:rsidRDefault="005F48AB" w:rsidP="005F48AB">
      <w:pPr>
        <w:pStyle w:val="afffb"/>
        <w:jc w:val="center"/>
        <w:rPr>
          <w:b/>
          <w:u w:val="none"/>
        </w:rPr>
      </w:pPr>
      <w:r w:rsidRPr="00665E13">
        <w:rPr>
          <w:b/>
          <w:u w:val="none"/>
        </w:rPr>
        <w:lastRenderedPageBreak/>
        <w:t>ПАСПОРТ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муниципальной программы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«Реализация молодежной политики</w:t>
      </w:r>
    </w:p>
    <w:p w:rsidR="005F48AB" w:rsidRDefault="005F48AB" w:rsidP="005F48AB">
      <w:pPr>
        <w:pStyle w:val="afffb"/>
        <w:jc w:val="center"/>
        <w:rPr>
          <w:u w:val="none"/>
        </w:rPr>
      </w:pPr>
      <w:r w:rsidRPr="00665E13">
        <w:rPr>
          <w:u w:val="none"/>
        </w:rPr>
        <w:t>в Аргаяшском муниципальном районе»</w:t>
      </w:r>
    </w:p>
    <w:p w:rsidR="005F48AB" w:rsidRPr="00665E13" w:rsidRDefault="005F48AB" w:rsidP="005F48AB">
      <w:pPr>
        <w:pStyle w:val="afffb"/>
        <w:jc w:val="center"/>
        <w:rPr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954"/>
      </w:tblGrid>
      <w:tr w:rsidR="005F48AB" w:rsidRPr="00665E13" w:rsidTr="00B61B0F">
        <w:trPr>
          <w:trHeight w:val="861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 МКУ «Управление культуры, туризма и молодежной политики»</w:t>
            </w:r>
          </w:p>
        </w:tc>
      </w:tr>
      <w:tr w:rsidR="005F48AB" w:rsidRPr="00665E13" w:rsidTr="00B61B0F">
        <w:trPr>
          <w:trHeight w:val="619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«Социальная активность»</w:t>
            </w: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Основная цель программы 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954" w:type="dxa"/>
          </w:tcPr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поддержка талантливых детей и молодежи в сфере образования, интеллектуальной и творческой деятельности;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более полного вовлечения молодежи в социальную, общественно-политическую и культурную жизнь общества.</w:t>
            </w:r>
          </w:p>
          <w:p w:rsidR="005F48AB" w:rsidRPr="00665E13" w:rsidRDefault="005F48AB" w:rsidP="005F48AB">
            <w:pPr>
              <w:pStyle w:val="afffb"/>
              <w:jc w:val="both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годы. Муниципальная программа реализуется в 1 этап</w:t>
            </w:r>
          </w:p>
          <w:p w:rsidR="005F48AB" w:rsidRPr="00665E13" w:rsidRDefault="005F48AB" w:rsidP="005F48AB">
            <w:pPr>
              <w:pStyle w:val="afffb"/>
            </w:pP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Целевые индикативы и показатели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количество моло</w:t>
            </w:r>
            <w:r>
              <w:rPr>
                <w:rFonts w:ascii="Times New Roman" w:hAnsi="Times New Roman"/>
                <w:sz w:val="24"/>
                <w:szCs w:val="24"/>
              </w:rPr>
              <w:t>дых людей в возрасте от 14 до 35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лет, проживающих в муниципальном образовании, принявших участие в реализации мероприятий патриотической направленности, проводимых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3201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3210 человек,  2025 году – 3240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40828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принявших участие в мероприятиях, направленных на развитие правовой грамотности и повышение электоральной активности, проводимых на территории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2023 году –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20,5 %; в 2025 году – 20,9 %;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проводимых в муниципальном образовании мероприятий, связанных с проектной деятельностью молодежи (грантовые конкурсы, семинары, тренинги, форумы)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2 единицы;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– 3 единицы, в 2025 году – 4 единицы; 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принявших участие в мероприятиях в сфере образования, интеллектуальной и творческой деятельности,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1580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1660 человек; в 2025 году – 1703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публикаций в средствах массовой информации о реализуемых в муниципальном образовании мероприятиях в сфере молодежной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- 45 единиц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53 единицы; в 2025 году – 60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молодых людей вовлеченных в волонтерскую, добровольческую и поисковую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="00512318">
              <w:rPr>
                <w:rFonts w:ascii="Times New Roman" w:hAnsi="Times New Roman"/>
                <w:sz w:val="24"/>
                <w:szCs w:val="24"/>
              </w:rPr>
              <w:t>145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148 человек; в 2025 году- 160 человек;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проводимых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8 единиц;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9 единиц; в 2025 году – 10 единиц;</w:t>
            </w:r>
          </w:p>
          <w:p w:rsidR="005F48AB" w:rsidRPr="00665E13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количество молодых людей,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охваченных мероприятиями, проводимыми на территории муниципального образования, регистрация которых осуществляется через автоматизированную информационную систему «Молодежь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2023 году -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120 человек;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 – 130 человек; в 2025 году – 140 человек;</w:t>
            </w: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количество молодежных форумов, проводимых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в 2023 году - 2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/>
                <w:sz w:val="24"/>
                <w:szCs w:val="24"/>
              </w:rPr>
              <w:t>ы; в 2024 году – 3 единицы; в 2025 году – 4 единицы;</w:t>
            </w:r>
          </w:p>
        </w:tc>
      </w:tr>
      <w:tr w:rsidR="005F48AB" w:rsidRPr="00665E13" w:rsidTr="00B61B0F"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за счет всех источ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ников финансирования </w:t>
            </w:r>
            <w:r w:rsidR="0027696C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  <w:r w:rsidR="00362FEE">
              <w:rPr>
                <w:rFonts w:ascii="Times New Roman" w:hAnsi="Times New Roman"/>
                <w:sz w:val="24"/>
                <w:szCs w:val="24"/>
              </w:rPr>
              <w:t>1836,5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средств местного бюджета- </w:t>
            </w:r>
            <w:r w:rsidRPr="00470BC8">
              <w:rPr>
                <w:rFonts w:ascii="Times New Roman" w:hAnsi="Times New Roman"/>
                <w:sz w:val="24"/>
                <w:szCs w:val="24"/>
              </w:rPr>
              <w:t>12</w:t>
            </w:r>
            <w:r w:rsidR="00E27806">
              <w:rPr>
                <w:rFonts w:ascii="Times New Roman" w:hAnsi="Times New Roman"/>
                <w:sz w:val="24"/>
                <w:szCs w:val="24"/>
              </w:rPr>
              <w:t>58</w:t>
            </w:r>
            <w:r w:rsidR="009405D6">
              <w:rPr>
                <w:rFonts w:ascii="Times New Roman" w:hAnsi="Times New Roman"/>
                <w:sz w:val="24"/>
                <w:szCs w:val="24"/>
              </w:rPr>
              <w:t>,</w:t>
            </w:r>
            <w:r w:rsidR="00E27806">
              <w:rPr>
                <w:rFonts w:ascii="Times New Roman" w:hAnsi="Times New Roman"/>
                <w:sz w:val="24"/>
                <w:szCs w:val="24"/>
              </w:rPr>
              <w:t>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средств областного бюд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жета- </w:t>
            </w:r>
            <w:r w:rsidR="00362FEE">
              <w:rPr>
                <w:rFonts w:ascii="Times New Roman" w:hAnsi="Times New Roman"/>
                <w:sz w:val="24"/>
                <w:szCs w:val="24"/>
              </w:rPr>
              <w:t>578</w:t>
            </w:r>
            <w:r w:rsidR="002769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по годам: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</w:t>
            </w:r>
            <w:r>
              <w:rPr>
                <w:rFonts w:ascii="Times New Roman" w:hAnsi="Times New Roman"/>
                <w:sz w:val="24"/>
                <w:szCs w:val="24"/>
              </w:rPr>
              <w:t>ы на реализацию программы в 2023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9405D6">
              <w:rPr>
                <w:rFonts w:ascii="Times New Roman" w:hAnsi="Times New Roman"/>
                <w:sz w:val="24"/>
                <w:szCs w:val="24"/>
              </w:rPr>
              <w:t>7</w:t>
            </w:r>
            <w:r w:rsidR="00E27806">
              <w:rPr>
                <w:rFonts w:ascii="Times New Roman" w:hAnsi="Times New Roman"/>
                <w:sz w:val="24"/>
                <w:szCs w:val="24"/>
              </w:rPr>
              <w:t>47,5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из них за счет средств местного бюджета- 4</w:t>
            </w:r>
            <w:r w:rsidR="00E27806">
              <w:rPr>
                <w:rFonts w:ascii="Times New Roman" w:hAnsi="Times New Roman"/>
                <w:sz w:val="24"/>
                <w:szCs w:val="24"/>
              </w:rPr>
              <w:t>58,5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бюджета- 289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Общие расходы на реализацию программы в 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</w:t>
            </w:r>
            <w:r w:rsidR="00F01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FEE">
              <w:rPr>
                <w:rFonts w:ascii="Times New Roman" w:hAnsi="Times New Roman"/>
                <w:sz w:val="24"/>
                <w:szCs w:val="24"/>
              </w:rPr>
              <w:t>689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362FEE">
              <w:rPr>
                <w:rFonts w:ascii="Times New Roman" w:hAnsi="Times New Roman"/>
                <w:sz w:val="24"/>
                <w:szCs w:val="24"/>
              </w:rPr>
              <w:t>289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>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Общие расходы на реализацию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году за всех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470BC8" w:rsidRDefault="005F48AB" w:rsidP="005F48AB">
            <w:pPr>
              <w:pStyle w:val="afffb"/>
            </w:pPr>
          </w:p>
          <w:p w:rsidR="005F48AB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из них за с</w:t>
            </w:r>
            <w:r>
              <w:rPr>
                <w:rFonts w:ascii="Times New Roman" w:hAnsi="Times New Roman"/>
                <w:sz w:val="24"/>
                <w:szCs w:val="24"/>
              </w:rPr>
              <w:t>чет средств местного бюджета- 400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  <w:p w:rsidR="005F48AB" w:rsidRPr="001F1229" w:rsidRDefault="005F48AB" w:rsidP="005F48AB">
            <w:pPr>
              <w:pStyle w:val="afffb"/>
              <w:jc w:val="both"/>
            </w:pPr>
          </w:p>
          <w:p w:rsidR="005F48AB" w:rsidRPr="009F2356" w:rsidRDefault="005F48AB" w:rsidP="005F48AB">
            <w:pPr>
              <w:pStyle w:val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областного бюджета- </w:t>
            </w:r>
            <w:r w:rsidR="0027696C">
              <w:rPr>
                <w:rFonts w:ascii="Times New Roman" w:hAnsi="Times New Roman"/>
                <w:sz w:val="24"/>
                <w:szCs w:val="24"/>
              </w:rPr>
              <w:t>0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тысяч рублей;</w:t>
            </w:r>
          </w:p>
        </w:tc>
      </w:tr>
      <w:tr w:rsidR="005F48AB" w:rsidRPr="00665E13" w:rsidTr="00B61B0F">
        <w:trPr>
          <w:trHeight w:val="416"/>
        </w:trPr>
        <w:tc>
          <w:tcPr>
            <w:tcW w:w="3964" w:type="dxa"/>
          </w:tcPr>
          <w:p w:rsidR="005F48AB" w:rsidRPr="00665E13" w:rsidRDefault="005F48AB" w:rsidP="005F48AB">
            <w:pPr>
              <w:pStyle w:val="17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954" w:type="dxa"/>
          </w:tcPr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Реализация программных мероприятий позволит решить поставленные программой задачи и достигнуть главной цели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65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8AB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:rsidR="005F48AB" w:rsidRPr="009F2356" w:rsidRDefault="005F48AB" w:rsidP="005F48AB">
            <w:pPr>
              <w:pStyle w:val="17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5E13">
              <w:rPr>
                <w:rFonts w:ascii="Times New Roman" w:hAnsi="Times New Roman"/>
                <w:sz w:val="24"/>
                <w:szCs w:val="24"/>
              </w:rPr>
              <w:t>создание условий для всестороннего развития, реализации и потенциала,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</w:t>
            </w:r>
          </w:p>
        </w:tc>
      </w:tr>
    </w:tbl>
    <w:p w:rsidR="005F48AB" w:rsidRPr="00665E13" w:rsidRDefault="005F48AB" w:rsidP="005F48AB">
      <w:pPr>
        <w:pStyle w:val="17"/>
        <w:rPr>
          <w:rFonts w:ascii="Times New Roman" w:hAnsi="Times New Roman"/>
          <w:sz w:val="24"/>
          <w:szCs w:val="24"/>
        </w:rPr>
      </w:pPr>
    </w:p>
    <w:p w:rsidR="00D82F99" w:rsidRPr="00665E13" w:rsidRDefault="00D82F99" w:rsidP="00665E13">
      <w:pPr>
        <w:pStyle w:val="17"/>
        <w:rPr>
          <w:rFonts w:ascii="Times New Roman" w:hAnsi="Times New Roman"/>
          <w:sz w:val="24"/>
          <w:szCs w:val="24"/>
        </w:rPr>
      </w:pPr>
    </w:p>
    <w:p w:rsidR="005F48AB" w:rsidRDefault="005F48AB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8AB" w:rsidRDefault="005F48AB" w:rsidP="00E27806">
      <w:pPr>
        <w:rPr>
          <w:rFonts w:ascii="Times New Roman" w:hAnsi="Times New Roman" w:cs="Times New Roman"/>
          <w:b/>
          <w:sz w:val="24"/>
          <w:szCs w:val="24"/>
        </w:rPr>
      </w:pPr>
    </w:p>
    <w:p w:rsidR="00D82F99" w:rsidRPr="00960DCB" w:rsidRDefault="00D82F99" w:rsidP="001F1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I. СОДЕРЖАНИЕ ПРОБЛЕМЫ И ОБОСНОВАНИЕ НЕОБХОДИМОСТИ ЕЕ РЕШЕНИЯ ПРОГРАММНЫМИ МЕТОДАМИ</w:t>
      </w:r>
    </w:p>
    <w:p w:rsidR="00B71313" w:rsidRPr="00960DCB" w:rsidRDefault="00D82F99" w:rsidP="005F48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1.</w:t>
      </w:r>
      <w:r w:rsidRPr="00960D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1313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 национальный проект «Образование» входит один из десяти Федеральных проектов - проект «Социальная активность» целью которого является: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добровольчества (</w:t>
      </w:r>
      <w:proofErr w:type="spellStart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волонтерства</w:t>
      </w:r>
      <w:proofErr w:type="spellEnd"/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), развитие талантов и способностей у детей и молодежи, в том числе студентов, путем поддержки общественных инициатив и проектов, вовлечения к 202</w:t>
      </w:r>
      <w:r w:rsidR="005F48AB"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добровольческую деятельность 20% граждан, вовлечения 45% молодежи в творческую деятельность и 70% студентов в клубное студенческое движение.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мероприятия этого проекта:</w:t>
      </w:r>
    </w:p>
    <w:p w:rsidR="00B71313" w:rsidRPr="00960DCB" w:rsidRDefault="00B71313" w:rsidP="005F48A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0DCB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условий для развития наставничества, поддержки общественных инициатив и проектов, в том числе в сфере добровольчества.</w:t>
      </w:r>
    </w:p>
    <w:p w:rsidR="00D82F99" w:rsidRPr="00960DCB" w:rsidRDefault="00D82F99" w:rsidP="005F48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России,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Целью государственной молодежной политики является развитие и реализация потенциала молодежи в интересах России.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Государственная молодежная политика формируется и реализуется органами государственной власти и местного самоуправления при участии молодежных общественных объединений, молодежных совещательных органов, неправительственных организаций и иных юридических и физических лиц.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Меры по реализации государственной молодежной политики, призванные обеспечить ее целостность, последовательность, преемственность и эффективность, осуществляются: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по трем направлениям: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деятельности;</w:t>
      </w:r>
    </w:p>
    <w:p w:rsidR="00D82F99" w:rsidRPr="00960DCB" w:rsidRDefault="00D82F99" w:rsidP="005F48AB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- подготовка и проведение мероприятий патриотической направленности.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Механизмы реализации государственной молодежной политики включают в себя:</w:t>
      </w:r>
    </w:p>
    <w:p w:rsidR="005838DD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создание системы молодежных проектов, соответствующих приоритетным направлениям государственной молодежной политики, предоставляющих возможности для равного участия в них всех молодых людей, независимо от пола, национальности, профессии, места жительства и социального статуса;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разработка и реализация новых проектов для молодежи;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Активность молодежи в сфере предпринимательства сдерживают значительные трудности, с которыми сталкиваются молодые предприниматели при открытии своего дела. Они обусловлены как финансовыми проблемами, так и недостаточной образованностью молодых людей в предпринимательской сфере.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В качестве слабых сторон реализации государственной молодежной политики можно отметить: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социальную изолированность молодых людей;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>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отсутствие необходимого набора возможностей для неприятия асоциальных норм поведения, а также полноценных возможностей для реабилитации и адаптации молодежи, находящейся в трудной жизненной ситуации.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60DCB">
        <w:rPr>
          <w:rFonts w:ascii="Times New Roman" w:hAnsi="Times New Roman" w:cs="Times New Roman"/>
          <w:b/>
          <w:sz w:val="24"/>
          <w:szCs w:val="24"/>
        </w:rPr>
        <w:t>. НОРМАТИВНОЕ ПРАВОВОЕ ОБЕСПЕЧЕНИЕ ГОСУДАРСТВЕННОЙ МОЛОДЕЖНОЙ ПОЛИТИКИ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2. Реализация государственной молодежной политики осуществляется на основе следующих нормативно-правовых актов: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Конституция Российской Федерации;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82-ФЗ «Об общественных объединениях»;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28 июня </w:t>
      </w:r>
      <w:smartTag w:uri="urn:schemas-microsoft-com:office:smarttags" w:element="metricconverter">
        <w:smartTagPr>
          <w:attr w:name="ProductID" w:val="199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98-ФЗ «О государственной поддержке молодежных и детских общественных объединений»;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24 июня </w:t>
      </w:r>
      <w:smartTag w:uri="urn:schemas-microsoft-com:office:smarttags" w:element="metricconverter">
        <w:smartTagPr>
          <w:attr w:name="ProductID" w:val="1999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1999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 xml:space="preserve">. № 120-ФЗ «Об основах системы профилактики </w:t>
      </w:r>
      <w:r w:rsidR="00960DCB" w:rsidRPr="00960DCB">
        <w:rPr>
          <w:rFonts w:ascii="Times New Roman" w:hAnsi="Times New Roman" w:cs="Times New Roman"/>
          <w:iCs/>
          <w:sz w:val="24"/>
          <w:szCs w:val="24"/>
        </w:rPr>
        <w:t>безнадзорности и</w:t>
      </w: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правонарушений несовершеннолетних»;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2003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131-ФЗ «Об общих принципах организации местного самоуправления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Федеральный закон от 2 марта </w:t>
      </w:r>
      <w:smartTag w:uri="urn:schemas-microsoft-com:office:smarttags" w:element="metricconverter">
        <w:smartTagPr>
          <w:attr w:name="ProductID" w:val="2007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2007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N 25-ФЗ «О муниципальной службе в Российской Федерации»;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2008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1662-р «Об утверждении концепции долгосрочного социально-экономического развития Российской Федерации на период до 2020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29 ноября </w:t>
      </w:r>
      <w:smartTag w:uri="urn:schemas-microsoft-com:office:smarttags" w:element="metricconverter">
        <w:smartTagPr>
          <w:attr w:name="ProductID" w:val="2014 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 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2403-р «Об утверждении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 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996-р «Об утверждении Стратегии развития воспитания в Российской Федерации на период до 2025 года;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Распоряжение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2570-р «О плане мероприятий по реализации Основ государственной молодежной политики Российской Федерации на период до 2025 года»;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 xml:space="preserve">Постановление Правительства Российской Федерации от 30 декабря </w:t>
      </w:r>
      <w:smartTag w:uri="urn:schemas-microsoft-com:office:smarttags" w:element="metricconverter">
        <w:smartTagPr>
          <w:attr w:name="ProductID" w:val="2015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2015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№ 1493 «О государственной программе «Патриотическое воспитание граждан Российской Федерации на 2016-2020 годы».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2014 г"/>
        </w:smartTagPr>
        <w:r w:rsidRPr="00960DCB">
          <w:rPr>
            <w:rFonts w:ascii="Times New Roman" w:hAnsi="Times New Roman" w:cs="Times New Roman"/>
            <w:iCs/>
            <w:sz w:val="24"/>
            <w:szCs w:val="24"/>
          </w:rPr>
          <w:t>2014 г</w:t>
        </w:r>
      </w:smartTag>
      <w:r w:rsidRPr="00960DCB">
        <w:rPr>
          <w:rFonts w:ascii="Times New Roman" w:hAnsi="Times New Roman" w:cs="Times New Roman"/>
          <w:iCs/>
          <w:sz w:val="24"/>
          <w:szCs w:val="24"/>
        </w:rPr>
        <w:t>. 2403-р;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iCs/>
          <w:sz w:val="24"/>
          <w:szCs w:val="24"/>
        </w:rPr>
        <w:t>Закон Челябинской области от 24.08.2006 г. № 45-ЗО «О молодежи»;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60DCB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Для достижения поставленной цели предусматривается решение следующих задач: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1. </w:t>
      </w:r>
      <w:r w:rsidR="00740828" w:rsidRPr="00960DCB">
        <w:rPr>
          <w:rFonts w:ascii="Times New Roman" w:hAnsi="Times New Roman" w:cs="Times New Roman"/>
          <w:sz w:val="24"/>
          <w:szCs w:val="24"/>
        </w:rPr>
        <w:t>Формирование условий, направленных на гражданско-патриотическое, духовное развитие и воспитание молодежи, подготовка и проведение мероприятий патриотической направленности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2.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Аргаяшского муниципального района;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3. </w:t>
      </w:r>
      <w:r w:rsidR="00740828" w:rsidRPr="00960DCB">
        <w:rPr>
          <w:rFonts w:ascii="Times New Roman" w:hAnsi="Times New Roman" w:cs="Times New Roman"/>
          <w:sz w:val="24"/>
          <w:szCs w:val="24"/>
        </w:rPr>
        <w:t>Поддержка талантливых детей и молодежи в сфере образования, интеллектуальной и творческой деятельности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4.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60DCB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4. Реализация муниципаль</w:t>
      </w:r>
      <w:r w:rsidR="004575AA" w:rsidRPr="00960DCB">
        <w:rPr>
          <w:rFonts w:ascii="Times New Roman" w:hAnsi="Times New Roman" w:cs="Times New Roman"/>
          <w:sz w:val="24"/>
          <w:szCs w:val="24"/>
        </w:rPr>
        <w:t>ной программы рассчитана на 202</w:t>
      </w:r>
      <w:r w:rsidR="001D369A" w:rsidRPr="00960DCB">
        <w:rPr>
          <w:rFonts w:ascii="Times New Roman" w:hAnsi="Times New Roman" w:cs="Times New Roman"/>
          <w:sz w:val="24"/>
          <w:szCs w:val="24"/>
        </w:rPr>
        <w:t>3</w:t>
      </w:r>
      <w:r w:rsidR="004575AA" w:rsidRPr="00960DCB">
        <w:rPr>
          <w:rFonts w:ascii="Times New Roman" w:hAnsi="Times New Roman" w:cs="Times New Roman"/>
          <w:sz w:val="24"/>
          <w:szCs w:val="24"/>
        </w:rPr>
        <w:t xml:space="preserve"> - 202</w:t>
      </w:r>
      <w:r w:rsidR="001D369A" w:rsidRPr="00960DCB">
        <w:rPr>
          <w:rFonts w:ascii="Times New Roman" w:hAnsi="Times New Roman" w:cs="Times New Roman"/>
          <w:sz w:val="24"/>
          <w:szCs w:val="24"/>
        </w:rPr>
        <w:t>5</w:t>
      </w:r>
      <w:r w:rsidR="00943CE9" w:rsidRPr="00960DCB">
        <w:rPr>
          <w:rFonts w:ascii="Times New Roman" w:hAnsi="Times New Roman" w:cs="Times New Roman"/>
          <w:sz w:val="24"/>
          <w:szCs w:val="24"/>
        </w:rPr>
        <w:t xml:space="preserve"> годы.     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Соблюдение установленных сроков реализации муниципальной программы обеспечивается </w:t>
      </w:r>
      <w:hyperlink r:id="rId6" w:anchor="P969" w:history="1">
        <w:r w:rsidRPr="00960DCB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системой</w:t>
        </w:r>
      </w:hyperlink>
      <w:r w:rsidRPr="00960DCB">
        <w:rPr>
          <w:rFonts w:ascii="Times New Roman" w:hAnsi="Times New Roman" w:cs="Times New Roman"/>
          <w:sz w:val="24"/>
          <w:szCs w:val="24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V. СИСТЕМА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5. </w:t>
      </w:r>
      <w:r w:rsidR="00740828" w:rsidRPr="00960DCB">
        <w:rPr>
          <w:rFonts w:ascii="Times New Roman" w:hAnsi="Times New Roman" w:cs="Times New Roman"/>
          <w:sz w:val="24"/>
          <w:szCs w:val="24"/>
        </w:rPr>
        <w:t>Решение задач муниципальной программы будет реализовано по трем направлениям: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вовлечение молодежи в социальную, общественно-политическую и культурную жизнь общества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3</w:t>
      </w:r>
      <w:r w:rsidR="00E27806">
        <w:rPr>
          <w:rFonts w:ascii="Times New Roman" w:hAnsi="Times New Roman" w:cs="Times New Roman"/>
          <w:sz w:val="24"/>
          <w:szCs w:val="24"/>
        </w:rPr>
        <w:t>83,05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поддержка талантливых детей и молодежи в сфере образования, интеллектуальной и творческой деятельности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23</w:t>
      </w:r>
      <w:r w:rsidR="009405D6">
        <w:rPr>
          <w:rFonts w:ascii="Times New Roman" w:hAnsi="Times New Roman" w:cs="Times New Roman"/>
          <w:sz w:val="24"/>
          <w:szCs w:val="24"/>
        </w:rPr>
        <w:t>0,53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60DCB">
        <w:rPr>
          <w:rFonts w:ascii="Times New Roman" w:hAnsi="Times New Roman" w:cs="Times New Roman"/>
          <w:sz w:val="24"/>
          <w:szCs w:val="24"/>
        </w:rPr>
        <w:t>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- подготовка и проведение мероприятий патриотической направленности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– 1</w:t>
      </w:r>
      <w:r w:rsidR="009405D6">
        <w:rPr>
          <w:rFonts w:ascii="Times New Roman" w:hAnsi="Times New Roman" w:cs="Times New Roman"/>
          <w:sz w:val="24"/>
          <w:szCs w:val="24"/>
        </w:rPr>
        <w:t>33,92</w:t>
      </w:r>
      <w:r w:rsidR="00960DCB" w:rsidRPr="00960DCB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60DCB" w:rsidRPr="00960DCB" w:rsidRDefault="00960DCB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План мероприятий муниципальной программы приведен в приложении к настоящей муниципальной программе.</w:t>
      </w:r>
    </w:p>
    <w:p w:rsidR="005838DD" w:rsidRPr="00960DCB" w:rsidRDefault="00D82F99" w:rsidP="00960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.РЕСУРСНОЕ ОБЕСПЕЧЕНИЕ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реализацию программы за счет всех источни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ков финансирования всего: </w:t>
      </w:r>
      <w:r w:rsidR="0027696C">
        <w:rPr>
          <w:rFonts w:ascii="Times New Roman" w:hAnsi="Times New Roman" w:cs="Times New Roman"/>
          <w:sz w:val="24"/>
          <w:szCs w:val="24"/>
        </w:rPr>
        <w:t>1</w:t>
      </w:r>
      <w:r w:rsidR="00510A9B">
        <w:rPr>
          <w:rFonts w:ascii="Times New Roman" w:hAnsi="Times New Roman" w:cs="Times New Roman"/>
          <w:sz w:val="24"/>
          <w:szCs w:val="24"/>
        </w:rPr>
        <w:t xml:space="preserve"> 836,5</w:t>
      </w:r>
      <w:r w:rsidR="00E27806">
        <w:rPr>
          <w:rFonts w:ascii="Times New Roman" w:hAnsi="Times New Roman" w:cs="Times New Roman"/>
          <w:sz w:val="24"/>
          <w:szCs w:val="24"/>
        </w:rPr>
        <w:t xml:space="preserve"> </w:t>
      </w:r>
      <w:r w:rsidRPr="00960DCB">
        <w:rPr>
          <w:rFonts w:ascii="Times New Roman" w:hAnsi="Times New Roman" w:cs="Times New Roman"/>
          <w:sz w:val="24"/>
          <w:szCs w:val="24"/>
        </w:rPr>
        <w:t>тыс.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510A9B">
        <w:rPr>
          <w:rFonts w:ascii="Times New Roman" w:hAnsi="Times New Roman" w:cs="Times New Roman"/>
          <w:sz w:val="24"/>
          <w:szCs w:val="24"/>
        </w:rPr>
        <w:t>578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т средств местного бюджета – </w:t>
      </w:r>
      <w:r w:rsidR="00915C4F">
        <w:rPr>
          <w:rFonts w:ascii="Times New Roman" w:hAnsi="Times New Roman" w:cs="Times New Roman"/>
          <w:sz w:val="24"/>
          <w:szCs w:val="24"/>
        </w:rPr>
        <w:t>12</w:t>
      </w:r>
      <w:r w:rsidR="00E27806">
        <w:rPr>
          <w:rFonts w:ascii="Times New Roman" w:hAnsi="Times New Roman" w:cs="Times New Roman"/>
          <w:sz w:val="24"/>
          <w:szCs w:val="24"/>
        </w:rPr>
        <w:t>58,5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по годам: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3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всех и</w:t>
      </w:r>
      <w:r w:rsidR="003E10A5" w:rsidRPr="00960DCB">
        <w:rPr>
          <w:rFonts w:ascii="Times New Roman" w:hAnsi="Times New Roman" w:cs="Times New Roman"/>
          <w:sz w:val="24"/>
          <w:szCs w:val="24"/>
        </w:rPr>
        <w:t>сто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чников финансирования – </w:t>
      </w:r>
      <w:r w:rsidR="00915C4F">
        <w:rPr>
          <w:rFonts w:ascii="Times New Roman" w:hAnsi="Times New Roman" w:cs="Times New Roman"/>
          <w:sz w:val="24"/>
          <w:szCs w:val="24"/>
        </w:rPr>
        <w:t>7</w:t>
      </w:r>
      <w:r w:rsidR="00E27806">
        <w:rPr>
          <w:rFonts w:ascii="Times New Roman" w:hAnsi="Times New Roman" w:cs="Times New Roman"/>
          <w:sz w:val="24"/>
          <w:szCs w:val="24"/>
        </w:rPr>
        <w:t>47,5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счет средств местного бюджета – 4</w:t>
      </w:r>
      <w:r w:rsidR="00E27806">
        <w:rPr>
          <w:rFonts w:ascii="Times New Roman" w:hAnsi="Times New Roman" w:cs="Times New Roman"/>
          <w:sz w:val="24"/>
          <w:szCs w:val="24"/>
        </w:rPr>
        <w:t>58,5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3E10A5" w:rsidRPr="00960DCB">
        <w:rPr>
          <w:rFonts w:ascii="Times New Roman" w:hAnsi="Times New Roman" w:cs="Times New Roman"/>
          <w:sz w:val="24"/>
          <w:szCs w:val="24"/>
        </w:rPr>
        <w:t xml:space="preserve"> 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средств областного бюджета – </w:t>
      </w:r>
      <w:r w:rsidR="00FF4CAD" w:rsidRPr="00960DCB">
        <w:rPr>
          <w:rFonts w:ascii="Times New Roman" w:hAnsi="Times New Roman" w:cs="Times New Roman"/>
          <w:sz w:val="24"/>
          <w:szCs w:val="24"/>
        </w:rPr>
        <w:t>289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расходы на реа</w:t>
      </w:r>
      <w:r w:rsidR="000E1F9F" w:rsidRPr="00960DCB">
        <w:rPr>
          <w:rFonts w:ascii="Times New Roman" w:hAnsi="Times New Roman" w:cs="Times New Roman"/>
          <w:sz w:val="24"/>
          <w:szCs w:val="24"/>
        </w:rPr>
        <w:t>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4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510A9B">
        <w:rPr>
          <w:rFonts w:ascii="Times New Roman" w:hAnsi="Times New Roman" w:cs="Times New Roman"/>
          <w:sz w:val="24"/>
          <w:szCs w:val="24"/>
        </w:rPr>
        <w:t>689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средств областног</w:t>
      </w:r>
      <w:r w:rsidR="000E1F9F" w:rsidRPr="00960DCB">
        <w:rPr>
          <w:rFonts w:ascii="Times New Roman" w:hAnsi="Times New Roman" w:cs="Times New Roman"/>
          <w:sz w:val="24"/>
          <w:szCs w:val="24"/>
        </w:rPr>
        <w:t>о бюджета –</w:t>
      </w:r>
      <w:r w:rsidR="00510A9B">
        <w:rPr>
          <w:rFonts w:ascii="Times New Roman" w:hAnsi="Times New Roman" w:cs="Times New Roman"/>
          <w:sz w:val="24"/>
          <w:szCs w:val="24"/>
        </w:rPr>
        <w:t xml:space="preserve"> 289</w:t>
      </w:r>
      <w:bookmarkStart w:id="0" w:name="_GoBack"/>
      <w:bookmarkEnd w:id="0"/>
      <w:r w:rsidR="00FF4CAD" w:rsidRPr="00960DC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60DCB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Общие расход</w:t>
      </w:r>
      <w:r w:rsidR="000E1F9F" w:rsidRPr="00960DCB">
        <w:rPr>
          <w:rFonts w:ascii="Times New Roman" w:hAnsi="Times New Roman" w:cs="Times New Roman"/>
          <w:sz w:val="24"/>
          <w:szCs w:val="24"/>
        </w:rPr>
        <w:t>ы на реализацию программы в 202</w:t>
      </w:r>
      <w:r w:rsidR="00FF4CAD" w:rsidRPr="00960DCB">
        <w:rPr>
          <w:rFonts w:ascii="Times New Roman" w:hAnsi="Times New Roman" w:cs="Times New Roman"/>
          <w:sz w:val="24"/>
          <w:szCs w:val="24"/>
        </w:rPr>
        <w:t>5</w:t>
      </w:r>
      <w:r w:rsidRPr="00960DCB">
        <w:rPr>
          <w:rFonts w:ascii="Times New Roman" w:hAnsi="Times New Roman" w:cs="Times New Roman"/>
          <w:sz w:val="24"/>
          <w:szCs w:val="24"/>
        </w:rPr>
        <w:t xml:space="preserve"> году за счет </w:t>
      </w:r>
      <w:r w:rsidR="00FF4CAD" w:rsidRPr="00960DCB">
        <w:rPr>
          <w:rFonts w:ascii="Times New Roman" w:hAnsi="Times New Roman" w:cs="Times New Roman"/>
          <w:sz w:val="24"/>
          <w:szCs w:val="24"/>
        </w:rPr>
        <w:t>всех источников</w:t>
      </w:r>
      <w:r w:rsidR="0062762B" w:rsidRPr="00960DCB">
        <w:rPr>
          <w:rFonts w:ascii="Times New Roman" w:hAnsi="Times New Roman" w:cs="Times New Roman"/>
          <w:sz w:val="24"/>
          <w:szCs w:val="24"/>
        </w:rPr>
        <w:t xml:space="preserve"> финансирования – </w:t>
      </w:r>
      <w:r w:rsidR="0027696C">
        <w:rPr>
          <w:rFonts w:ascii="Times New Roman" w:hAnsi="Times New Roman" w:cs="Times New Roman"/>
          <w:sz w:val="24"/>
          <w:szCs w:val="24"/>
        </w:rPr>
        <w:t>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из них: за сч</w:t>
      </w:r>
      <w:r w:rsidR="0062762B" w:rsidRPr="00960DCB">
        <w:rPr>
          <w:rFonts w:ascii="Times New Roman" w:hAnsi="Times New Roman" w:cs="Times New Roman"/>
          <w:sz w:val="24"/>
          <w:szCs w:val="24"/>
        </w:rPr>
        <w:t>ет средств местного бюджета – 400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за счет ср</w:t>
      </w:r>
      <w:r w:rsidR="000E1F9F" w:rsidRPr="00960DCB">
        <w:rPr>
          <w:rFonts w:ascii="Times New Roman" w:hAnsi="Times New Roman" w:cs="Times New Roman"/>
          <w:sz w:val="24"/>
          <w:szCs w:val="24"/>
        </w:rPr>
        <w:t xml:space="preserve">едств областного бюджета – </w:t>
      </w:r>
      <w:r w:rsidR="0027696C">
        <w:rPr>
          <w:rFonts w:ascii="Times New Roman" w:hAnsi="Times New Roman" w:cs="Times New Roman"/>
          <w:sz w:val="24"/>
          <w:szCs w:val="24"/>
        </w:rPr>
        <w:t>0</w:t>
      </w:r>
      <w:r w:rsidRPr="00960DCB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8111F5" w:rsidRPr="00960DCB" w:rsidRDefault="008111F5" w:rsidP="001F12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ОРГАНИЗАЦИЯ УПРАВЛЕНИЯ И МЕХАНИЗМ ВЫПОЛНЕНИЯ МЕРОПРИЯТИЙ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8. МКУ «Управление культуры, туризма и молодежной политики»: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эффективное использование бюджетных средств;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>2) подготавливает все необходимые отчеты (в том числе по областным субсидиям) в Министерство образования и науки Челябинской области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9. Реализация муниципальной программы осуществляется: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lastRenderedPageBreak/>
        <w:t>на основе государственных контрактов на закупку товаров, работ и услуг для обеспечения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определяются в порядке, предусмотренном федеральным законодательством о контрактной системе;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 10.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местном бюджете на указанные цели, доведенных лимитов бюджетных обязательств и предельных объемов финансирования.</w:t>
      </w:r>
    </w:p>
    <w:p w:rsidR="00D82F99" w:rsidRPr="00960DCB" w:rsidRDefault="00D82F99" w:rsidP="005838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DCB">
        <w:rPr>
          <w:rFonts w:ascii="Times New Roman" w:hAnsi="Times New Roman" w:cs="Times New Roman"/>
          <w:b/>
          <w:sz w:val="24"/>
          <w:szCs w:val="24"/>
        </w:rPr>
        <w:t>VII</w:t>
      </w:r>
      <w:r w:rsidRPr="00960D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0DCB">
        <w:rPr>
          <w:rFonts w:ascii="Times New Roman" w:hAnsi="Times New Roman" w:cs="Times New Roman"/>
          <w:b/>
          <w:sz w:val="24"/>
          <w:szCs w:val="24"/>
        </w:rPr>
        <w:t>. ОЖИДАЕМЫЕ РЕЗУЛЬТАТЫ РЕАЛИЗАЦИИ МУНИЦИПАЛЬНОЙ ПРОГРАММЫ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12. Реализация программных мероприятий позволит решить поставленные программой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D82F99" w:rsidRPr="00960DCB" w:rsidRDefault="00D82F99" w:rsidP="001F1229">
      <w:pPr>
        <w:jc w:val="both"/>
        <w:rPr>
          <w:rFonts w:ascii="Times New Roman" w:hAnsi="Times New Roman" w:cs="Times New Roman"/>
          <w:sz w:val="24"/>
          <w:szCs w:val="24"/>
        </w:rPr>
      </w:pPr>
      <w:r w:rsidRPr="00960DCB">
        <w:rPr>
          <w:rFonts w:ascii="Times New Roman" w:hAnsi="Times New Roman" w:cs="Times New Roman"/>
          <w:sz w:val="24"/>
          <w:szCs w:val="24"/>
        </w:rPr>
        <w:t xml:space="preserve">           13. Оценка результатов реализации муниципальной программы осуществляется по итогам ежеквартального мониторинга и анализа целевых индикативных показателей, представленных в приложении 1.</w:t>
      </w:r>
    </w:p>
    <w:p w:rsidR="00D82F99" w:rsidRPr="001F1229" w:rsidRDefault="00D82F99" w:rsidP="001F12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F99" w:rsidRPr="00665E13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p w:rsidR="00D82F99" w:rsidRDefault="00D82F99" w:rsidP="00665E13">
      <w:pPr>
        <w:rPr>
          <w:rFonts w:ascii="Times New Roman" w:hAnsi="Times New Roman" w:cs="Times New Roman"/>
          <w:sz w:val="24"/>
          <w:szCs w:val="24"/>
        </w:rPr>
      </w:pPr>
    </w:p>
    <w:sectPr w:rsidR="00D82F99" w:rsidSect="00965890">
      <w:pgSz w:w="11906" w:h="16838"/>
      <w:pgMar w:top="1134" w:right="850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397BB9"/>
    <w:multiLevelType w:val="multilevel"/>
    <w:tmpl w:val="7C5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6" w15:restartNumberingAfterBreak="0">
    <w:nsid w:val="27CB629F"/>
    <w:multiLevelType w:val="hybridMultilevel"/>
    <w:tmpl w:val="8294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9C25CA6"/>
    <w:multiLevelType w:val="hybridMultilevel"/>
    <w:tmpl w:val="9B6E5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645783"/>
    <w:multiLevelType w:val="hybridMultilevel"/>
    <w:tmpl w:val="F8546A94"/>
    <w:lvl w:ilvl="0" w:tplc="80944152">
      <w:start w:val="1"/>
      <w:numFmt w:val="bullet"/>
      <w:lvlText w:val="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99"/>
    <w:rsid w:val="000027E6"/>
    <w:rsid w:val="00032D4F"/>
    <w:rsid w:val="000419B0"/>
    <w:rsid w:val="00074B9F"/>
    <w:rsid w:val="000A10C4"/>
    <w:rsid w:val="000C6D75"/>
    <w:rsid w:val="000D1802"/>
    <w:rsid w:val="000D7203"/>
    <w:rsid w:val="000E1F9F"/>
    <w:rsid w:val="000E6594"/>
    <w:rsid w:val="001847D9"/>
    <w:rsid w:val="001B3ED0"/>
    <w:rsid w:val="001D369A"/>
    <w:rsid w:val="001F1229"/>
    <w:rsid w:val="00220019"/>
    <w:rsid w:val="0027696C"/>
    <w:rsid w:val="002C1A44"/>
    <w:rsid w:val="002C7A1B"/>
    <w:rsid w:val="002E0912"/>
    <w:rsid w:val="002E5502"/>
    <w:rsid w:val="002E6D66"/>
    <w:rsid w:val="0030091F"/>
    <w:rsid w:val="00304ABF"/>
    <w:rsid w:val="00326CD8"/>
    <w:rsid w:val="00343305"/>
    <w:rsid w:val="00351512"/>
    <w:rsid w:val="00351B2F"/>
    <w:rsid w:val="00362FEE"/>
    <w:rsid w:val="003668D8"/>
    <w:rsid w:val="003676A3"/>
    <w:rsid w:val="003875B9"/>
    <w:rsid w:val="003C2B68"/>
    <w:rsid w:val="003D450D"/>
    <w:rsid w:val="003E10A5"/>
    <w:rsid w:val="003E197D"/>
    <w:rsid w:val="0041504D"/>
    <w:rsid w:val="004310B3"/>
    <w:rsid w:val="00450502"/>
    <w:rsid w:val="00456A11"/>
    <w:rsid w:val="004575AA"/>
    <w:rsid w:val="00481EA1"/>
    <w:rsid w:val="0048732C"/>
    <w:rsid w:val="004A1182"/>
    <w:rsid w:val="004B4CB9"/>
    <w:rsid w:val="004F0590"/>
    <w:rsid w:val="00510A9B"/>
    <w:rsid w:val="00512318"/>
    <w:rsid w:val="00512C0C"/>
    <w:rsid w:val="00527501"/>
    <w:rsid w:val="005475E4"/>
    <w:rsid w:val="0057588A"/>
    <w:rsid w:val="005772E4"/>
    <w:rsid w:val="00580726"/>
    <w:rsid w:val="005838DD"/>
    <w:rsid w:val="005909A1"/>
    <w:rsid w:val="005E741E"/>
    <w:rsid w:val="005F1DD3"/>
    <w:rsid w:val="005F48AB"/>
    <w:rsid w:val="0062762B"/>
    <w:rsid w:val="00665E13"/>
    <w:rsid w:val="00673DE3"/>
    <w:rsid w:val="006A1509"/>
    <w:rsid w:val="006E137F"/>
    <w:rsid w:val="0070200C"/>
    <w:rsid w:val="00740828"/>
    <w:rsid w:val="00747B03"/>
    <w:rsid w:val="00751931"/>
    <w:rsid w:val="00753726"/>
    <w:rsid w:val="00782FE8"/>
    <w:rsid w:val="00794F9A"/>
    <w:rsid w:val="007A2724"/>
    <w:rsid w:val="007A39A0"/>
    <w:rsid w:val="008111F5"/>
    <w:rsid w:val="00833314"/>
    <w:rsid w:val="00851882"/>
    <w:rsid w:val="00856743"/>
    <w:rsid w:val="008756D0"/>
    <w:rsid w:val="00877887"/>
    <w:rsid w:val="00880814"/>
    <w:rsid w:val="00881F4A"/>
    <w:rsid w:val="008D2655"/>
    <w:rsid w:val="009031ED"/>
    <w:rsid w:val="00915219"/>
    <w:rsid w:val="00915C4F"/>
    <w:rsid w:val="00926B54"/>
    <w:rsid w:val="009405D6"/>
    <w:rsid w:val="00943CE9"/>
    <w:rsid w:val="009543D9"/>
    <w:rsid w:val="00960DCB"/>
    <w:rsid w:val="00965890"/>
    <w:rsid w:val="00997DD8"/>
    <w:rsid w:val="009D7CEE"/>
    <w:rsid w:val="009F2356"/>
    <w:rsid w:val="00A1305E"/>
    <w:rsid w:val="00A1593D"/>
    <w:rsid w:val="00A33DBE"/>
    <w:rsid w:val="00A44B24"/>
    <w:rsid w:val="00A64942"/>
    <w:rsid w:val="00A76391"/>
    <w:rsid w:val="00AA21DE"/>
    <w:rsid w:val="00B049E8"/>
    <w:rsid w:val="00B2636A"/>
    <w:rsid w:val="00B36ED9"/>
    <w:rsid w:val="00B61B0F"/>
    <w:rsid w:val="00B7012C"/>
    <w:rsid w:val="00B71313"/>
    <w:rsid w:val="00B72675"/>
    <w:rsid w:val="00BA3755"/>
    <w:rsid w:val="00BB581D"/>
    <w:rsid w:val="00BC51A6"/>
    <w:rsid w:val="00C00FDD"/>
    <w:rsid w:val="00C07017"/>
    <w:rsid w:val="00C35C14"/>
    <w:rsid w:val="00C50089"/>
    <w:rsid w:val="00C55447"/>
    <w:rsid w:val="00C6549C"/>
    <w:rsid w:val="00C84A0D"/>
    <w:rsid w:val="00CC0F70"/>
    <w:rsid w:val="00CD2414"/>
    <w:rsid w:val="00D24485"/>
    <w:rsid w:val="00D40227"/>
    <w:rsid w:val="00D41ABB"/>
    <w:rsid w:val="00D74E04"/>
    <w:rsid w:val="00D764B2"/>
    <w:rsid w:val="00D82F99"/>
    <w:rsid w:val="00D84D0F"/>
    <w:rsid w:val="00DB6DF9"/>
    <w:rsid w:val="00DC31C7"/>
    <w:rsid w:val="00DC3866"/>
    <w:rsid w:val="00DD4827"/>
    <w:rsid w:val="00E015B7"/>
    <w:rsid w:val="00E1331C"/>
    <w:rsid w:val="00E27806"/>
    <w:rsid w:val="00E335FA"/>
    <w:rsid w:val="00E5364C"/>
    <w:rsid w:val="00E70B2A"/>
    <w:rsid w:val="00EA693A"/>
    <w:rsid w:val="00EA796C"/>
    <w:rsid w:val="00EB0EB8"/>
    <w:rsid w:val="00F00B89"/>
    <w:rsid w:val="00F010D7"/>
    <w:rsid w:val="00F10462"/>
    <w:rsid w:val="00F15F5A"/>
    <w:rsid w:val="00F208E6"/>
    <w:rsid w:val="00F32FFE"/>
    <w:rsid w:val="00F37B99"/>
    <w:rsid w:val="00F441FB"/>
    <w:rsid w:val="00FC60DD"/>
    <w:rsid w:val="00FC6246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E20397"/>
  <w15:docId w15:val="{9D15D600-DCA3-41B4-BF8B-12825F39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D75"/>
  </w:style>
  <w:style w:type="paragraph" w:styleId="1">
    <w:name w:val="heading 1"/>
    <w:basedOn w:val="a"/>
    <w:next w:val="a"/>
    <w:link w:val="11"/>
    <w:qFormat/>
    <w:rsid w:val="00D82F9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2">
    <w:name w:val="heading 2"/>
    <w:basedOn w:val="1"/>
    <w:next w:val="a"/>
    <w:link w:val="20"/>
    <w:qFormat/>
    <w:rsid w:val="00D82F9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  <w:u w:val="none"/>
    </w:rPr>
  </w:style>
  <w:style w:type="paragraph" w:styleId="3">
    <w:name w:val="heading 3"/>
    <w:basedOn w:val="a"/>
    <w:link w:val="30"/>
    <w:uiPriority w:val="99"/>
    <w:qFormat/>
    <w:rsid w:val="00D82F9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rsid w:val="00D82F9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rsid w:val="00D82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82F99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82F9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D82F99"/>
    <w:rPr>
      <w:rFonts w:ascii="Arial" w:eastAsia="Times New Roman" w:hAnsi="Arial" w:cs="Times New Roman"/>
      <w:sz w:val="24"/>
      <w:szCs w:val="24"/>
    </w:rPr>
  </w:style>
  <w:style w:type="paragraph" w:styleId="a3">
    <w:name w:val="Normal (Web)"/>
    <w:basedOn w:val="a"/>
    <w:uiPriority w:val="99"/>
    <w:rsid w:val="00D8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D82F99"/>
    <w:rPr>
      <w:b/>
      <w:bCs/>
    </w:rPr>
  </w:style>
  <w:style w:type="table" w:styleId="a5">
    <w:name w:val="Table Grid"/>
    <w:basedOn w:val="a1"/>
    <w:rsid w:val="00D8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2F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styleId="a6">
    <w:name w:val="Hyperlink"/>
    <w:uiPriority w:val="99"/>
    <w:rsid w:val="00D82F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2F99"/>
  </w:style>
  <w:style w:type="paragraph" w:customStyle="1" w:styleId="12">
    <w:name w:val="Абзац списка1"/>
    <w:basedOn w:val="a"/>
    <w:rsid w:val="00D82F99"/>
    <w:pPr>
      <w:ind w:left="720"/>
    </w:pPr>
    <w:rPr>
      <w:rFonts w:ascii="Calibri" w:eastAsia="Times New Roman" w:hAnsi="Calibri" w:cs="Times New Roman"/>
    </w:rPr>
  </w:style>
  <w:style w:type="paragraph" w:customStyle="1" w:styleId="110">
    <w:name w:val="Заголовок 11"/>
    <w:basedOn w:val="a"/>
    <w:next w:val="a"/>
    <w:link w:val="10"/>
    <w:qFormat/>
    <w:rsid w:val="00D82F9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D82F99"/>
  </w:style>
  <w:style w:type="paragraph" w:styleId="a7">
    <w:name w:val="Body Text Indent"/>
    <w:basedOn w:val="a"/>
    <w:link w:val="a8"/>
    <w:uiPriority w:val="99"/>
    <w:rsid w:val="00D82F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82F99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rsid w:val="00D82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rsid w:val="00D82F99"/>
    <w:rPr>
      <w:rFonts w:cs="Times New Roman"/>
      <w:b/>
      <w:bCs/>
      <w:color w:val="008000"/>
    </w:rPr>
  </w:style>
  <w:style w:type="paragraph" w:styleId="aa">
    <w:name w:val="header"/>
    <w:basedOn w:val="a"/>
    <w:link w:val="ab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D82F99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Прижатый влево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e">
    <w:name w:val="Balloon Text"/>
    <w:basedOn w:val="a"/>
    <w:link w:val="af"/>
    <w:rsid w:val="00D82F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82F99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D82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D82F99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D82F9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82F99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2">
    <w:name w:val="Цветовое выделение"/>
    <w:rsid w:val="00D82F99"/>
    <w:rPr>
      <w:b/>
      <w:bCs/>
      <w:color w:val="000080"/>
    </w:rPr>
  </w:style>
  <w:style w:type="character" w:customStyle="1" w:styleId="af3">
    <w:name w:val="Активная гипертекстовая ссылка"/>
    <w:rsid w:val="00D82F99"/>
    <w:rPr>
      <w:b/>
      <w:bCs/>
      <w:color w:val="008000"/>
      <w:u w:val="single"/>
    </w:rPr>
  </w:style>
  <w:style w:type="paragraph" w:customStyle="1" w:styleId="af4">
    <w:name w:val="Внимание: Криминал!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5">
    <w:name w:val="Внимание: недобросовестность!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Основное меню (преемственное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14">
    <w:name w:val="Заголовок1"/>
    <w:basedOn w:val="af6"/>
    <w:next w:val="a"/>
    <w:rsid w:val="00D82F99"/>
    <w:rPr>
      <w:rFonts w:ascii="Arial" w:hAnsi="Arial"/>
      <w:b/>
      <w:bCs/>
      <w:color w:val="C0C0C0"/>
    </w:rPr>
  </w:style>
  <w:style w:type="character" w:customStyle="1" w:styleId="af7">
    <w:name w:val="Заголовок своего сообщения"/>
    <w:rsid w:val="00D82F99"/>
  </w:style>
  <w:style w:type="paragraph" w:customStyle="1" w:styleId="af8">
    <w:name w:val="Заголовок статьи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9">
    <w:name w:val="Заголовок чужого сообщения"/>
    <w:rsid w:val="00D82F99"/>
    <w:rPr>
      <w:b/>
      <w:bCs/>
      <w:color w:val="FF0000"/>
    </w:rPr>
  </w:style>
  <w:style w:type="paragraph" w:customStyle="1" w:styleId="afa">
    <w:name w:val="Интерактивный заголовок"/>
    <w:basedOn w:val="14"/>
    <w:next w:val="a"/>
    <w:rsid w:val="00D82F99"/>
    <w:rPr>
      <w:b w:val="0"/>
      <w:bCs w:val="0"/>
      <w:color w:val="auto"/>
      <w:u w:val="single"/>
    </w:rPr>
  </w:style>
  <w:style w:type="paragraph" w:customStyle="1" w:styleId="afb">
    <w:name w:val="Интерфейс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ECE9D8"/>
    </w:rPr>
  </w:style>
  <w:style w:type="paragraph" w:customStyle="1" w:styleId="afc">
    <w:name w:val="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d">
    <w:name w:val="Информация об изменениях документа"/>
    <w:basedOn w:val="afc"/>
    <w:next w:val="a"/>
    <w:rsid w:val="00D82F99"/>
    <w:pPr>
      <w:ind w:left="0"/>
    </w:pPr>
  </w:style>
  <w:style w:type="paragraph" w:customStyle="1" w:styleId="afe">
    <w:name w:val="Текст (ле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">
    <w:name w:val="Колонтитул (левый)"/>
    <w:basedOn w:val="afe"/>
    <w:next w:val="a"/>
    <w:rsid w:val="00D82F99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правый)"/>
    <w:basedOn w:val="aff0"/>
    <w:next w:val="a"/>
    <w:rsid w:val="00D82F99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c"/>
    <w:next w:val="a"/>
    <w:rsid w:val="00D82F99"/>
    <w:pPr>
      <w:ind w:left="0"/>
      <w:jc w:val="left"/>
    </w:pPr>
    <w:rPr>
      <w:i w:val="0"/>
      <w:iCs w:val="0"/>
      <w:color w:val="000080"/>
    </w:rPr>
  </w:style>
  <w:style w:type="paragraph" w:customStyle="1" w:styleId="aff3">
    <w:name w:val="Куда обратиться?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4">
    <w:name w:val="Моноширинны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f5">
    <w:name w:val="Найденные слова"/>
    <w:rsid w:val="00D82F99"/>
  </w:style>
  <w:style w:type="character" w:customStyle="1" w:styleId="aff6">
    <w:name w:val="Не вступил в силу"/>
    <w:rsid w:val="00D82F99"/>
    <w:rPr>
      <w:b/>
      <w:bCs/>
      <w:color w:val="008080"/>
    </w:rPr>
  </w:style>
  <w:style w:type="paragraph" w:customStyle="1" w:styleId="aff7">
    <w:name w:val="Необходимые документы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8">
    <w:name w:val="Объект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ffa">
    <w:name w:val="Оглавление"/>
    <w:basedOn w:val="aff9"/>
    <w:next w:val="a"/>
    <w:rsid w:val="00D82F99"/>
    <w:pPr>
      <w:ind w:left="140"/>
    </w:pPr>
    <w:rPr>
      <w:rFonts w:ascii="Arial" w:hAnsi="Arial"/>
    </w:rPr>
  </w:style>
  <w:style w:type="character" w:customStyle="1" w:styleId="affb">
    <w:name w:val="Опечатки"/>
    <w:rsid w:val="00D82F99"/>
    <w:rPr>
      <w:color w:val="FF0000"/>
    </w:rPr>
  </w:style>
  <w:style w:type="paragraph" w:customStyle="1" w:styleId="affc">
    <w:name w:val="Переменная часть"/>
    <w:basedOn w:val="af6"/>
    <w:next w:val="a"/>
    <w:rsid w:val="00D82F99"/>
    <w:rPr>
      <w:rFonts w:ascii="Arial" w:hAnsi="Arial"/>
      <w:sz w:val="20"/>
      <w:szCs w:val="20"/>
    </w:rPr>
  </w:style>
  <w:style w:type="paragraph" w:customStyle="1" w:styleId="affd">
    <w:name w:val="Постоянная часть"/>
    <w:basedOn w:val="af6"/>
    <w:next w:val="a"/>
    <w:rsid w:val="00D82F99"/>
    <w:rPr>
      <w:rFonts w:ascii="Arial" w:hAnsi="Arial"/>
      <w:sz w:val="22"/>
      <w:szCs w:val="22"/>
    </w:rPr>
  </w:style>
  <w:style w:type="paragraph" w:customStyle="1" w:styleId="affe">
    <w:name w:val="Пример.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">
    <w:name w:val="Примечание."/>
    <w:basedOn w:val="afc"/>
    <w:next w:val="a"/>
    <w:rsid w:val="00D82F99"/>
    <w:pPr>
      <w:ind w:left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D82F99"/>
  </w:style>
  <w:style w:type="paragraph" w:customStyle="1" w:styleId="afff1">
    <w:name w:val="Словарная статья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2">
    <w:name w:val="Сравнение редакций"/>
    <w:rsid w:val="00D82F99"/>
  </w:style>
  <w:style w:type="character" w:customStyle="1" w:styleId="afff3">
    <w:name w:val="Сравнение редакций. Добавленный фрагмент"/>
    <w:rsid w:val="00D82F99"/>
    <w:rPr>
      <w:color w:val="0000FF"/>
    </w:rPr>
  </w:style>
  <w:style w:type="character" w:customStyle="1" w:styleId="afff4">
    <w:name w:val="Сравнение редакций. Удаленный фрагмент"/>
    <w:rsid w:val="00D82F99"/>
    <w:rPr>
      <w:strike/>
      <w:color w:val="808000"/>
    </w:rPr>
  </w:style>
  <w:style w:type="paragraph" w:customStyle="1" w:styleId="afff5">
    <w:name w:val="Текст (справка)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ff6">
    <w:name w:val="Текст в таблице"/>
    <w:basedOn w:val="ac"/>
    <w:next w:val="a"/>
    <w:rsid w:val="00D82F99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ff8">
    <w:name w:val="Утратил силу"/>
    <w:rsid w:val="00D82F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c"/>
    <w:next w:val="a"/>
    <w:rsid w:val="00D82F99"/>
    <w:pPr>
      <w:jc w:val="center"/>
    </w:pPr>
  </w:style>
  <w:style w:type="character" w:styleId="afffa">
    <w:name w:val="page number"/>
    <w:rsid w:val="00D82F99"/>
  </w:style>
  <w:style w:type="character" w:customStyle="1" w:styleId="short1">
    <w:name w:val="short1"/>
    <w:rsid w:val="00D82F99"/>
    <w:rPr>
      <w:b w:val="0"/>
      <w:bCs w:val="0"/>
      <w:sz w:val="16"/>
      <w:szCs w:val="16"/>
    </w:rPr>
  </w:style>
  <w:style w:type="paragraph" w:customStyle="1" w:styleId="ConsPlusCell">
    <w:name w:val="ConsPlusCell"/>
    <w:uiPriority w:val="99"/>
    <w:rsid w:val="00D82F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D82F99"/>
  </w:style>
  <w:style w:type="character" w:customStyle="1" w:styleId="eop">
    <w:name w:val="eop"/>
    <w:rsid w:val="00D82F99"/>
  </w:style>
  <w:style w:type="character" w:customStyle="1" w:styleId="spellingerror">
    <w:name w:val="spellingerror"/>
    <w:rsid w:val="00D82F99"/>
  </w:style>
  <w:style w:type="character" w:customStyle="1" w:styleId="41">
    <w:name w:val="Основной текст (4)_"/>
    <w:link w:val="42"/>
    <w:rsid w:val="00D82F99"/>
    <w:rPr>
      <w:b/>
      <w:bCs/>
      <w:sz w:val="60"/>
      <w:szCs w:val="60"/>
      <w:shd w:val="clear" w:color="auto" w:fill="FFFFFF"/>
    </w:rPr>
  </w:style>
  <w:style w:type="character" w:customStyle="1" w:styleId="15">
    <w:name w:val="Заголовок №1_"/>
    <w:link w:val="16"/>
    <w:rsid w:val="00D82F99"/>
    <w:rPr>
      <w:b/>
      <w:bCs/>
      <w:sz w:val="36"/>
      <w:szCs w:val="3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2F99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paragraph" w:customStyle="1" w:styleId="16">
    <w:name w:val="Заголовок №1"/>
    <w:basedOn w:val="a"/>
    <w:link w:val="15"/>
    <w:rsid w:val="00D82F9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customStyle="1" w:styleId="17">
    <w:name w:val="Без интервала1"/>
    <w:next w:val="afffb"/>
    <w:uiPriority w:val="1"/>
    <w:qFormat/>
    <w:rsid w:val="00D82F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1"/>
    <w:link w:val="1"/>
    <w:rsid w:val="00D82F99"/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  <w:style w:type="paragraph" w:styleId="afffb">
    <w:name w:val="No Spacing"/>
    <w:uiPriority w:val="1"/>
    <w:qFormat/>
    <w:rsid w:val="00D8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?url=http%3A%2F%2Fgump74.ru%2Fmedia%2Fdocs%2F2015%2F12%2F02%2Fgosprogramma-povyishenie-effektivnosti-realizatsii.docx&amp;name=gosprogramma-povyishenie-effektivnosti-realizatsii.docx&amp;lang=ru&amp;c=5704a437eb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2761C-50D2-4BC7-9227-382815DF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2023-12-27T10:57:00Z</cp:lastPrinted>
  <dcterms:created xsi:type="dcterms:W3CDTF">2023-12-27T10:51:00Z</dcterms:created>
  <dcterms:modified xsi:type="dcterms:W3CDTF">2024-02-26T07:31:00Z</dcterms:modified>
</cp:coreProperties>
</file>