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D4" w:rsidRDefault="00946FD4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46FD4" w:rsidRDefault="00BA37DA">
      <w:pPr>
        <w:spacing w:after="18" w:line="264" w:lineRule="auto"/>
        <w:ind w:left="10" w:right="-1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Утверждена </w:t>
      </w:r>
    </w:p>
    <w:p w:rsidR="00946FD4" w:rsidRDefault="00BA37DA">
      <w:pPr>
        <w:spacing w:after="18" w:line="264" w:lineRule="auto"/>
        <w:ind w:left="10" w:right="-1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постановлением администрации  </w:t>
      </w:r>
    </w:p>
    <w:p w:rsidR="00946FD4" w:rsidRDefault="00BA37DA">
      <w:pPr>
        <w:spacing w:after="18" w:line="264" w:lineRule="auto"/>
        <w:ind w:left="4900" w:right="-1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района от 27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.2022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1334</w:t>
      </w:r>
    </w:p>
    <w:p w:rsidR="00946FD4" w:rsidRDefault="00946FD4">
      <w:pPr>
        <w:spacing w:after="21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46FD4" w:rsidRDefault="00946FD4">
      <w:pPr>
        <w:spacing w:after="21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46FD4" w:rsidRDefault="00BA37DA">
      <w:pPr>
        <w:spacing w:after="21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Муниципальная программа</w:t>
      </w:r>
    </w:p>
    <w:p w:rsidR="00946FD4" w:rsidRDefault="00BA37DA">
      <w:pPr>
        <w:spacing w:after="37" w:line="264" w:lineRule="auto"/>
        <w:ind w:left="1680" w:right="-1" w:firstLine="86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муниципального района </w:t>
      </w:r>
    </w:p>
    <w:p w:rsidR="00946FD4" w:rsidRDefault="00BA37DA">
      <w:pPr>
        <w:spacing w:after="37" w:line="264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«Укрепление общественного здоровья на территории</w:t>
      </w:r>
    </w:p>
    <w:p w:rsidR="00946FD4" w:rsidRDefault="00BA37DA">
      <w:pPr>
        <w:spacing w:after="14" w:line="264" w:lineRule="auto"/>
        <w:ind w:left="1136" w:right="-1" w:hanging="1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Челябинской области»</w:t>
      </w:r>
    </w:p>
    <w:p w:rsidR="00946FD4" w:rsidRDefault="00946FD4">
      <w:pPr>
        <w:spacing w:after="65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46FD4" w:rsidRDefault="00BA37DA">
      <w:pPr>
        <w:pStyle w:val="a9"/>
        <w:keepNext/>
        <w:keepLines/>
        <w:numPr>
          <w:ilvl w:val="0"/>
          <w:numId w:val="1"/>
        </w:numPr>
        <w:spacing w:after="13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Паспорт муниципальной программы  </w:t>
      </w:r>
    </w:p>
    <w:tbl>
      <w:tblPr>
        <w:tblStyle w:val="TableGrid"/>
        <w:tblW w:w="9924" w:type="dxa"/>
        <w:tblInd w:w="-426" w:type="dxa"/>
        <w:tblCellMar>
          <w:top w:w="10" w:type="dxa"/>
          <w:left w:w="108" w:type="dxa"/>
          <w:right w:w="108" w:type="dxa"/>
        </w:tblCellMar>
        <w:tblLook w:val="04A0"/>
      </w:tblPr>
      <w:tblGrid>
        <w:gridCol w:w="2745"/>
        <w:gridCol w:w="7179"/>
      </w:tblGrid>
      <w:tr w:rsidR="00946FD4">
        <w:trPr>
          <w:trHeight w:val="141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C4C4C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муниципального района</w:t>
            </w:r>
          </w:p>
        </w:tc>
      </w:tr>
      <w:tr w:rsidR="00946FD4">
        <w:trPr>
          <w:trHeight w:val="973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Заместитель Главы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муниципального района по социальной политике </w:t>
            </w:r>
          </w:p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Государственное бюджетное учреждение здравоохранения «Районная больница с. Аргаяш» (ГБУЗ «Районная больница с. Аргаяш); </w:t>
            </w:r>
          </w:p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Отдел министерства внутренних дел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Аргаяшскому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ону (Отдел МВД);</w:t>
            </w:r>
          </w:p>
          <w:p w:rsidR="00946FD4" w:rsidRDefault="00BA37DA">
            <w:pPr>
              <w:spacing w:after="27" w:line="256" w:lineRule="auto"/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Управление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муниципального района;</w:t>
            </w:r>
          </w:p>
          <w:p w:rsidR="00946FD4" w:rsidRDefault="00BA37DA">
            <w:pPr>
              <w:spacing w:after="27" w:line="256" w:lineRule="auto"/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 культуры, туризма и молодежной политики;</w:t>
            </w:r>
          </w:p>
          <w:p w:rsidR="00946FD4" w:rsidRDefault="00BA37DA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Управление социальной защиты населения (УСЗН); </w:t>
            </w:r>
          </w:p>
          <w:p w:rsidR="00946FD4" w:rsidRDefault="00BA37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 «Комплексный центр социального обслуживания населения»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муниципального района;</w:t>
            </w:r>
          </w:p>
          <w:p w:rsidR="00946FD4" w:rsidRDefault="00BA37DA">
            <w:pPr>
              <w:spacing w:after="27" w:line="256" w:lineRule="auto"/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 «Физкультура и спорт»   </w:t>
            </w:r>
          </w:p>
        </w:tc>
      </w:tr>
      <w:tr w:rsidR="00946FD4">
        <w:trPr>
          <w:trHeight w:val="973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Участники </w:t>
            </w:r>
          </w:p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программы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Редакция районной газеты «Восход»;</w:t>
            </w:r>
          </w:p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МООИ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района;</w:t>
            </w:r>
          </w:p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Районный Совет ветеранов; </w:t>
            </w:r>
          </w:p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Общественные организации;</w:t>
            </w:r>
          </w:p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волонтеры</w:t>
            </w:r>
          </w:p>
        </w:tc>
      </w:tr>
      <w:tr w:rsidR="00946FD4">
        <w:trPr>
          <w:trHeight w:val="23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Проекты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программы </w:t>
            </w:r>
          </w:p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</w:r>
          </w:p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Подпрограммы муниципальной </w:t>
            </w:r>
          </w:p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программы </w:t>
            </w:r>
          </w:p>
          <w:p w:rsidR="00946FD4" w:rsidRDefault="00BA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 реализуются. </w:t>
            </w:r>
          </w:p>
          <w:p w:rsidR="00946FD4" w:rsidRDefault="00946FD4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46FD4" w:rsidRDefault="00946FD4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46FD4" w:rsidRDefault="00946FD4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46FD4" w:rsidRDefault="00BA37DA">
            <w:pPr>
              <w:spacing w:after="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Отсутствуют.</w:t>
            </w:r>
          </w:p>
        </w:tc>
      </w:tr>
      <w:tr w:rsidR="00946FD4">
        <w:trPr>
          <w:trHeight w:val="1533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  <w:jc w:val="left"/>
            </w:pPr>
            <w:r>
              <w:t>Основная цель (основные цели) муниципальной программы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</w:pPr>
            <w:r>
              <w:t xml:space="preserve">Улучшение здоровья и качества жизни населения, формирование культуры общественного здоровья, ответственного отношения к здоровью на территории </w:t>
            </w:r>
            <w:proofErr w:type="spellStart"/>
            <w:r>
              <w:t>Аргаяшского</w:t>
            </w:r>
            <w:proofErr w:type="spellEnd"/>
            <w:r>
              <w:t xml:space="preserve"> муниципального района. </w:t>
            </w:r>
          </w:p>
        </w:tc>
      </w:tr>
      <w:tr w:rsidR="00946FD4">
        <w:trPr>
          <w:trHeight w:val="23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</w:pPr>
            <w:r>
              <w:t xml:space="preserve">Основные задачи </w:t>
            </w:r>
          </w:p>
          <w:p w:rsidR="00946FD4" w:rsidRDefault="00946FD4">
            <w:pPr>
              <w:pStyle w:val="a8"/>
            </w:pP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</w:pPr>
            <w:r>
              <w:t xml:space="preserve">1. Повышение информированности населения в вопросах </w:t>
            </w:r>
            <w:r>
              <w:t xml:space="preserve">муниципальной профилактики хронических неинфекционных заболеваний </w:t>
            </w:r>
            <w:proofErr w:type="spellStart"/>
            <w:r>
              <w:t>программыи</w:t>
            </w:r>
            <w:proofErr w:type="spellEnd"/>
            <w:r>
              <w:t xml:space="preserve"> формирования здорового образа жизни. </w:t>
            </w:r>
          </w:p>
          <w:p w:rsidR="00946FD4" w:rsidRDefault="00BA37DA">
            <w:pPr>
              <w:pStyle w:val="a8"/>
            </w:pPr>
            <w:r>
              <w:t xml:space="preserve">2.Формирование среды, способствующей ведению гражданами здорового образа жизни. </w:t>
            </w:r>
          </w:p>
          <w:p w:rsidR="00946FD4" w:rsidRDefault="00BA37DA">
            <w:pPr>
              <w:pStyle w:val="a8"/>
            </w:pPr>
            <w:r>
              <w:t>3. Увеличение доли лиц, мотивированных к ведению здорового о</w:t>
            </w:r>
            <w:r>
              <w:t>браза жизни.</w:t>
            </w:r>
          </w:p>
          <w:p w:rsidR="00946FD4" w:rsidRDefault="00BA37DA">
            <w:pPr>
              <w:pStyle w:val="a8"/>
            </w:pPr>
            <w:r>
              <w:t xml:space="preserve">4.Создание </w:t>
            </w:r>
            <w:proofErr w:type="spellStart"/>
            <w:r>
              <w:t>межсекторальных</w:t>
            </w:r>
            <w:proofErr w:type="spellEnd"/>
            <w:r>
              <w:t xml:space="preserve"> рабочих групп, ответственных за разработку и реализацию мероприятий, муниципальной программы укрепления здоровья населения.</w:t>
            </w:r>
          </w:p>
        </w:tc>
      </w:tr>
      <w:tr w:rsidR="00946FD4">
        <w:trPr>
          <w:trHeight w:val="408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  <w:jc w:val="left"/>
            </w:pPr>
            <w:r>
              <w:t>Целевые показатели результата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</w:pPr>
            <w:r>
              <w:t>1.Доля граждан, систематически занимающихся физической культу</w:t>
            </w:r>
            <w:r>
              <w:t>рой и спортом в общей численности граждан   (процентов)</w:t>
            </w:r>
          </w:p>
          <w:p w:rsidR="00946FD4" w:rsidRDefault="00BA37DA">
            <w:pPr>
              <w:pStyle w:val="a8"/>
            </w:pPr>
            <w:r>
              <w:t xml:space="preserve">2.Увеличение </w:t>
            </w:r>
            <w:r>
              <w:tab/>
              <w:t xml:space="preserve">доли </w:t>
            </w:r>
            <w:r>
              <w:tab/>
              <w:t xml:space="preserve">граждан, </w:t>
            </w:r>
            <w:r>
              <w:tab/>
              <w:t xml:space="preserve">охваченных </w:t>
            </w:r>
            <w:proofErr w:type="gramStart"/>
            <w:r>
              <w:t>профилактическими</w:t>
            </w:r>
            <w:proofErr w:type="gramEnd"/>
            <w:r>
              <w:t xml:space="preserve"> мероприятий, направленными </w:t>
            </w:r>
            <w:r>
              <w:tab/>
              <w:t xml:space="preserve">на </w:t>
            </w:r>
          </w:p>
          <w:p w:rsidR="00946FD4" w:rsidRDefault="00BA37DA">
            <w:pPr>
              <w:pStyle w:val="a8"/>
            </w:pPr>
            <w:r>
              <w:t xml:space="preserve">укрепление общественного здоровья, профилактику неинфекционных заболеваний, (процентов); </w:t>
            </w:r>
          </w:p>
          <w:p w:rsidR="00946FD4" w:rsidRDefault="00BA37DA">
            <w:pPr>
              <w:pStyle w:val="a8"/>
            </w:pPr>
            <w:r>
              <w:t xml:space="preserve">3.Количество </w:t>
            </w:r>
            <w:r>
              <w:t>публикаций в СМИ и информационно-телекоммуникационная сеть «Интернет», направленных на формирование системы мотивации граждан к ЗОЖ, включая здоровое питание и отказ от вредных привычек, (единиц)</w:t>
            </w:r>
          </w:p>
          <w:p w:rsidR="00946FD4" w:rsidRDefault="00BA37DA">
            <w:pPr>
              <w:pStyle w:val="a8"/>
            </w:pPr>
            <w:r>
              <w:t>4.Темпы прироста первичной заболеваемости ожирением (процент</w:t>
            </w:r>
            <w:r>
              <w:t>)</w:t>
            </w:r>
          </w:p>
        </w:tc>
      </w:tr>
      <w:tr w:rsidR="00946FD4">
        <w:trPr>
          <w:trHeight w:val="1542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  <w:jc w:val="left"/>
            </w:pPr>
            <w:r>
              <w:t xml:space="preserve">Этапы и сроки реализации </w:t>
            </w:r>
          </w:p>
          <w:p w:rsidR="00946FD4" w:rsidRDefault="00BA37DA">
            <w:pPr>
              <w:pStyle w:val="a8"/>
              <w:jc w:val="left"/>
            </w:pPr>
            <w:r>
              <w:t>программы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</w:pPr>
            <w:r>
              <w:t>Период реализации программы 2023-2025 г, в 3 этапа:</w:t>
            </w:r>
          </w:p>
          <w:p w:rsidR="00946FD4" w:rsidRDefault="00BA37DA">
            <w:pPr>
              <w:pStyle w:val="a8"/>
            </w:pPr>
            <w:r>
              <w:t>Этап 1 – 2023 год;</w:t>
            </w:r>
          </w:p>
          <w:p w:rsidR="00946FD4" w:rsidRDefault="00BA37DA">
            <w:pPr>
              <w:pStyle w:val="a8"/>
            </w:pPr>
            <w:r>
              <w:t>Этап 2 – 2024 год;</w:t>
            </w:r>
          </w:p>
          <w:p w:rsidR="00946FD4" w:rsidRDefault="00BA37DA">
            <w:pPr>
              <w:pStyle w:val="a8"/>
            </w:pPr>
            <w:r>
              <w:t>Этап 3 – 2025 год.</w:t>
            </w:r>
          </w:p>
        </w:tc>
      </w:tr>
      <w:tr w:rsidR="00946FD4">
        <w:trPr>
          <w:trHeight w:val="267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</w:pPr>
            <w:r>
              <w:lastRenderedPageBreak/>
              <w:t xml:space="preserve">Объемы </w:t>
            </w:r>
          </w:p>
          <w:p w:rsidR="00946FD4" w:rsidRDefault="00BA37DA">
            <w:pPr>
              <w:pStyle w:val="a8"/>
            </w:pPr>
            <w:r>
              <w:t>бюджетных  ассигнований программы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  <w:rPr>
                <w:color w:val="FF0000"/>
              </w:rPr>
            </w:pPr>
            <w:r>
              <w:t xml:space="preserve">Объем финансового обеспечения муниципальной программы на 2023-2025гг. составит – </w:t>
            </w:r>
            <w:proofErr w:type="gramStart"/>
            <w:r>
              <w:t>60,00</w:t>
            </w:r>
            <w:proofErr w:type="gramEnd"/>
            <w:r>
              <w:t xml:space="preserve"> в том числе по годам:</w:t>
            </w:r>
          </w:p>
          <w:p w:rsidR="00946FD4" w:rsidRDefault="00BA37DA">
            <w:pPr>
              <w:pStyle w:val="a8"/>
            </w:pPr>
            <w:r>
              <w:t xml:space="preserve">в 2023 году – 20,00 тыс. рублей;  </w:t>
            </w:r>
          </w:p>
          <w:p w:rsidR="00946FD4" w:rsidRDefault="00BA37DA">
            <w:pPr>
              <w:pStyle w:val="a8"/>
            </w:pPr>
            <w:r>
              <w:t xml:space="preserve">в 2024 году – 20,00 тыс. рублей; </w:t>
            </w:r>
          </w:p>
          <w:p w:rsidR="00946FD4" w:rsidRDefault="00BA37DA">
            <w:pPr>
              <w:pStyle w:val="a8"/>
            </w:pPr>
            <w:r>
              <w:t xml:space="preserve">в 2025 году – 20,00 тыс. рублей;  </w:t>
            </w:r>
          </w:p>
          <w:p w:rsidR="00946FD4" w:rsidRDefault="00BA37DA">
            <w:pPr>
              <w:pStyle w:val="a8"/>
            </w:pPr>
            <w:r>
              <w:t>Объем финансирования корректируется с учето</w:t>
            </w:r>
            <w:r>
              <w:t xml:space="preserve">м возможностей бюджета на текущий финансовый год. </w:t>
            </w:r>
          </w:p>
        </w:tc>
      </w:tr>
      <w:tr w:rsidR="00946FD4">
        <w:trPr>
          <w:trHeight w:val="452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</w:pPr>
            <w:r>
              <w:t>Ожидаемые результаты</w:t>
            </w:r>
          </w:p>
          <w:p w:rsidR="00946FD4" w:rsidRDefault="00BA37DA">
            <w:pPr>
              <w:pStyle w:val="a8"/>
            </w:pPr>
            <w:r>
              <w:t>реализации программы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</w:pPr>
            <w:r>
              <w:t>1. Доля граждан в возрасте 3-79 лет, систематически занимающихся физической культурой и спортом в общей численности граждан в возрасте 3-79 лет, составит 53%</w:t>
            </w:r>
          </w:p>
          <w:p w:rsidR="00946FD4" w:rsidRDefault="00BA37DA">
            <w:pPr>
              <w:pStyle w:val="a8"/>
            </w:pPr>
            <w:r>
              <w:t>2. У</w:t>
            </w:r>
            <w:r>
              <w:t xml:space="preserve">величение </w:t>
            </w:r>
            <w:r>
              <w:tab/>
              <w:t xml:space="preserve">доли </w:t>
            </w:r>
            <w:r>
              <w:tab/>
              <w:t xml:space="preserve">граждан, </w:t>
            </w:r>
            <w:r>
              <w:tab/>
              <w:t xml:space="preserve">охваченных </w:t>
            </w:r>
            <w:proofErr w:type="gramStart"/>
            <w:r>
              <w:t>профилактическими</w:t>
            </w:r>
            <w:proofErr w:type="gramEnd"/>
            <w:r>
              <w:t xml:space="preserve"> мероприятий, направленными </w:t>
            </w:r>
            <w:r>
              <w:tab/>
              <w:t xml:space="preserve">на </w:t>
            </w:r>
          </w:p>
          <w:p w:rsidR="00946FD4" w:rsidRDefault="00BA37DA">
            <w:pPr>
              <w:pStyle w:val="a8"/>
            </w:pPr>
            <w:r>
              <w:t>укрепление общественного здоровья, профилактику неинфекционных заболеваний, составит 60%.</w:t>
            </w:r>
          </w:p>
          <w:p w:rsidR="00946FD4" w:rsidRDefault="00BA37DA">
            <w:pPr>
              <w:pStyle w:val="a8"/>
              <w:ind w:left="0" w:firstLine="0"/>
            </w:pPr>
            <w:r>
              <w:t>3.Количество публикаций в СМИ и информационно-телекоммуникационная сеть «Интер</w:t>
            </w:r>
            <w:r>
              <w:t>нет», направленных на формирование системы мотивации граждан к ЗОЖ, включая здоровое питание и отказ от вредных привычек, составит 250 публикаций.</w:t>
            </w:r>
          </w:p>
          <w:p w:rsidR="00946FD4" w:rsidRDefault="00BA37DA">
            <w:pPr>
              <w:pStyle w:val="a8"/>
              <w:ind w:left="0"/>
            </w:pPr>
            <w:r>
              <w:t>4.Темпы прироста первичной заболеваемости ожирением составит 8%</w:t>
            </w:r>
          </w:p>
        </w:tc>
      </w:tr>
    </w:tbl>
    <w:p w:rsidR="00946FD4" w:rsidRDefault="00946FD4">
      <w:pPr>
        <w:spacing w:after="24"/>
        <w:ind w:left="-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46FD4" w:rsidRDefault="00BA37DA">
      <w:pPr>
        <w:pStyle w:val="a8"/>
        <w:jc w:val="center"/>
        <w:rPr>
          <w:b/>
        </w:rPr>
      </w:pPr>
      <w:r>
        <w:rPr>
          <w:b/>
        </w:rPr>
        <w:t xml:space="preserve">Раздел I. Приоритеты и цели муниципальной </w:t>
      </w:r>
      <w:r>
        <w:rPr>
          <w:b/>
        </w:rPr>
        <w:t>политики, включая характеристику текущего состояния сферы реализации муниципальной программы</w:t>
      </w:r>
    </w:p>
    <w:p w:rsidR="00946FD4" w:rsidRDefault="00BA37DA">
      <w:pPr>
        <w:pStyle w:val="a8"/>
        <w:jc w:val="center"/>
        <w:rPr>
          <w:b/>
        </w:rPr>
      </w:pPr>
      <w:r>
        <w:rPr>
          <w:b/>
        </w:rPr>
        <w:tab/>
      </w:r>
    </w:p>
    <w:p w:rsidR="00946FD4" w:rsidRDefault="00BA37DA">
      <w:pPr>
        <w:pStyle w:val="a8"/>
        <w:ind w:firstLine="698"/>
      </w:pPr>
      <w:proofErr w:type="gramStart"/>
      <w:r>
        <w:t xml:space="preserve">Муниципальная программа «Укрепление общественного здоровья на территории </w:t>
      </w:r>
      <w:proofErr w:type="spellStart"/>
      <w:r>
        <w:t>Аргаяшского</w:t>
      </w:r>
      <w:proofErr w:type="spellEnd"/>
      <w:r>
        <w:t xml:space="preserve"> муниципального района Челябинской области» (далее именуется - Программа) соз</w:t>
      </w:r>
      <w:r>
        <w:t>дана в соответствии с Указом   Президента   Российской Федерации  от 17 мая 2018 года № 204 «О национальных целях и стратегических задачах развития Российской Федерации  до 2024 года» на основе паспорта региональной составляющей национального проекта «Демо</w:t>
      </w:r>
      <w:r>
        <w:t>графия», утвержденного протоколом от 13.12.2018 года Регионального стратегического комитета в соответствии с</w:t>
      </w:r>
      <w:proofErr w:type="gramEnd"/>
      <w:r>
        <w:t xml:space="preserve"> перечнем поручений Губернатора Челябинской области по итогам заочного заседания Регионального стратегического комитета 13.12.2018г. Программа напра</w:t>
      </w:r>
      <w:r>
        <w:t>влена на достижение целевых показателей национального проекта «Демография» к 2024 году.</w:t>
      </w:r>
    </w:p>
    <w:p w:rsidR="00946FD4" w:rsidRDefault="00BA3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направлениями Программы являются:</w:t>
      </w:r>
    </w:p>
    <w:p w:rsidR="00946FD4" w:rsidRDefault="00BA3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формирование приверженности здоровому образу жизни у населения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Аргаяшского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посредством проведения ин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формационно-коммуникационной кампании с использованием современных каналов коммуникации и интерактивных способов донесения информации с учетом целевых групп и распространенности факторов риска хронических неинфекционных заболеваний;</w:t>
      </w:r>
    </w:p>
    <w:p w:rsidR="00946FD4" w:rsidRDefault="00BA37D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реализация мероприяти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й, направленных на совершенствование системы раннего выявления хронических неинфекционных заболеваний у населения и корректировку риска их развития;</w:t>
      </w:r>
    </w:p>
    <w:p w:rsidR="00946FD4" w:rsidRDefault="00BA37D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внедрение на предприятиях и организациях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Аргаяшском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муниципальном районе корпоративных программ, направ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ленных на укрепление здоровья работников;</w:t>
      </w:r>
    </w:p>
    <w:p w:rsidR="00946FD4" w:rsidRDefault="00BA37D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среды, способствующей ведению гражданами здорового образа жизни, включая создание условий для занятий физической культурой и спортом, здорового питания, снижение потребления алкоголя, защиту от табачно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 дыма;</w:t>
      </w:r>
    </w:p>
    <w:p w:rsidR="00946FD4" w:rsidRDefault="00BA3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вовлечение гражданского сообщества, в том числе некоммерческих организаций и добровольцев, волонтеров-медиков к участию в реализации мероприятий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укрепления общественного здоровья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46FD4" w:rsidRDefault="00946FD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6FD4" w:rsidRDefault="00BA37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Мониторинг и оценка программы</w:t>
      </w:r>
    </w:p>
    <w:p w:rsidR="00946FD4" w:rsidRDefault="00946FD4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6FD4" w:rsidRDefault="00BA3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показателями, оценивающими эффективность программы, являются:</w:t>
      </w:r>
    </w:p>
    <w:p w:rsidR="00946FD4" w:rsidRDefault="00BA3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показатели общей смертности населения трудоспособного возраста, смертности от хронических неинфекционных заболеваний граждан в трудоспособном возрасте: болезней системы кровообращения, злокачест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венных заболеваний, болезней органов дыхания, цереброваскулярных болезней; </w:t>
      </w:r>
    </w:p>
    <w:p w:rsidR="00946FD4" w:rsidRDefault="00BA3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распространенность факторов риска по итогам диспансеризации определенных гру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пп взр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ослого населения (низкая физическая активность, нерациональное питание, избыточная масса тела, арт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ериальная гипертензия, гипергликемия, курение, злоупотребление алкоголем); </w:t>
      </w:r>
    </w:p>
    <w:p w:rsidR="00946FD4" w:rsidRDefault="00BA3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информированность населения по вопросам профилактики хронических неинфекционных заболеваний и формированию здорового образа жизни (данные социологического исследования по информиро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ванности о диспансеризации, показатели частоты запущенных случаев злокачественных новообразований и поздней обращаемости при острых сосудистых состояниях).</w:t>
      </w:r>
    </w:p>
    <w:p w:rsidR="00946FD4" w:rsidRDefault="00946FD4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6FD4" w:rsidRDefault="00BA37DA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2. Анализ факторов, влияющих на смертность населения, и характеристика ресурсов службы медиц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инской профилактики 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Аргаяшском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районе</w:t>
      </w:r>
    </w:p>
    <w:p w:rsidR="00946FD4" w:rsidRDefault="00946FD4">
      <w:pPr>
        <w:pStyle w:val="a8"/>
        <w:ind w:left="0" w:firstLine="0"/>
        <w:rPr>
          <w:rFonts w:eastAsia="Calibri"/>
        </w:rPr>
      </w:pPr>
    </w:p>
    <w:p w:rsidR="00946FD4" w:rsidRDefault="00BA37DA">
      <w:pPr>
        <w:pStyle w:val="a8"/>
        <w:rPr>
          <w:rFonts w:eastAsia="Calibri"/>
          <w:b/>
          <w:i/>
        </w:rPr>
      </w:pPr>
      <w:r>
        <w:rPr>
          <w:rFonts w:eastAsia="Calibri"/>
          <w:b/>
          <w:i/>
        </w:rPr>
        <w:t>Географические характеристики.</w:t>
      </w:r>
    </w:p>
    <w:p w:rsidR="00946FD4" w:rsidRDefault="00946FD4">
      <w:pPr>
        <w:pStyle w:val="a8"/>
        <w:rPr>
          <w:rFonts w:eastAsia="Calibri"/>
          <w:i/>
        </w:rPr>
      </w:pPr>
    </w:p>
    <w:p w:rsidR="00946FD4" w:rsidRDefault="00BA37DA">
      <w:pPr>
        <w:pStyle w:val="a8"/>
        <w:ind w:firstLine="698"/>
        <w:rPr>
          <w:rFonts w:eastAsia="Calibri"/>
        </w:rPr>
      </w:pPr>
      <w:proofErr w:type="spellStart"/>
      <w:r>
        <w:rPr>
          <w:rFonts w:eastAsia="Calibri"/>
        </w:rPr>
        <w:t>Аргаяшский</w:t>
      </w:r>
      <w:proofErr w:type="spellEnd"/>
      <w:r>
        <w:rPr>
          <w:rFonts w:eastAsia="Calibri"/>
        </w:rPr>
        <w:t xml:space="preserve"> муниципальный район – административно-территориальная единица (район) и одноименное муниципальное образование (муниципальный район) в Челябинской области. Обр</w:t>
      </w:r>
      <w:r>
        <w:rPr>
          <w:rFonts w:eastAsia="Calibri"/>
        </w:rPr>
        <w:t xml:space="preserve">азован в 1930 году административный центр село Аргаяш, расположенный в северной части Челябинской области. В переводе с </w:t>
      </w:r>
      <w:proofErr w:type="gramStart"/>
      <w:r>
        <w:rPr>
          <w:rFonts w:eastAsia="Calibri"/>
        </w:rPr>
        <w:t>башкирского</w:t>
      </w:r>
      <w:proofErr w:type="gramEnd"/>
      <w:r>
        <w:rPr>
          <w:rFonts w:eastAsia="Calibri"/>
        </w:rPr>
        <w:t xml:space="preserve"> Аргаяш означает солнечный берег. </w:t>
      </w:r>
    </w:p>
    <w:p w:rsidR="00946FD4" w:rsidRDefault="00BA37DA">
      <w:pPr>
        <w:pStyle w:val="a8"/>
        <w:ind w:firstLine="698"/>
        <w:rPr>
          <w:rFonts w:eastAsia="Calibri"/>
        </w:rPr>
      </w:pPr>
      <w:proofErr w:type="spellStart"/>
      <w:r>
        <w:rPr>
          <w:rFonts w:eastAsia="Calibri"/>
        </w:rPr>
        <w:t>Аргаяшский</w:t>
      </w:r>
      <w:proofErr w:type="spellEnd"/>
      <w:r>
        <w:rPr>
          <w:rFonts w:eastAsia="Calibri"/>
        </w:rPr>
        <w:t xml:space="preserve"> район по состоянию на 01.01.2020 г. занимает площадь 2568,18 кв</w:t>
      </w:r>
      <w:proofErr w:type="gramStart"/>
      <w:r>
        <w:rPr>
          <w:rFonts w:eastAsia="Calibri"/>
        </w:rPr>
        <w:t>.к</w:t>
      </w:r>
      <w:proofErr w:type="gramEnd"/>
      <w:r>
        <w:rPr>
          <w:rFonts w:eastAsia="Calibri"/>
        </w:rPr>
        <w:t>м из них 6% ле</w:t>
      </w:r>
      <w:r>
        <w:rPr>
          <w:rFonts w:eastAsia="Calibri"/>
        </w:rPr>
        <w:t xml:space="preserve">са, 11% водоёмы (50 озер и 9 рек), площадь </w:t>
      </w:r>
      <w:r>
        <w:rPr>
          <w:rFonts w:eastAsia="Calibri"/>
        </w:rPr>
        <w:lastRenderedPageBreak/>
        <w:t xml:space="preserve">сельскохозяйственных угодий 140,8 кв.км, общая протяженность границ 250 км. </w:t>
      </w:r>
    </w:p>
    <w:p w:rsidR="00946FD4" w:rsidRDefault="00BA37DA">
      <w:pPr>
        <w:pStyle w:val="a8"/>
        <w:ind w:firstLine="698"/>
        <w:rPr>
          <w:rFonts w:eastAsia="Calibri"/>
        </w:rPr>
      </w:pPr>
      <w:proofErr w:type="spellStart"/>
      <w:r>
        <w:rPr>
          <w:rFonts w:eastAsia="Calibri"/>
        </w:rPr>
        <w:t>Аргаяшский</w:t>
      </w:r>
      <w:proofErr w:type="spellEnd"/>
      <w:r>
        <w:rPr>
          <w:rFonts w:eastAsia="Calibri"/>
        </w:rPr>
        <w:t xml:space="preserve"> район находится в 56 км к северо-западу от Челябинска. Через Аргаяш проходит железная дорога «Челябинск-Екатеринбург» и автод</w:t>
      </w:r>
      <w:r>
        <w:rPr>
          <w:rFonts w:eastAsia="Calibri"/>
        </w:rPr>
        <w:t xml:space="preserve">ороги связывающие Аргаяш с городом Озерск, Кыштым, Карабаш, Сосновским и </w:t>
      </w:r>
      <w:proofErr w:type="spellStart"/>
      <w:r>
        <w:rPr>
          <w:rFonts w:eastAsia="Calibri"/>
        </w:rPr>
        <w:t>Кунашакским</w:t>
      </w:r>
      <w:proofErr w:type="spellEnd"/>
      <w:r>
        <w:rPr>
          <w:rFonts w:eastAsia="Calibri"/>
        </w:rPr>
        <w:t xml:space="preserve"> муниципальными районами. </w:t>
      </w:r>
    </w:p>
    <w:p w:rsidR="00946FD4" w:rsidRDefault="00BA37DA">
      <w:pPr>
        <w:pStyle w:val="a8"/>
        <w:ind w:firstLine="698"/>
        <w:rPr>
          <w:rFonts w:eastAsia="Calibri"/>
        </w:rPr>
      </w:pPr>
      <w:r>
        <w:rPr>
          <w:rFonts w:eastAsia="Calibri"/>
        </w:rPr>
        <w:t xml:space="preserve">В состав </w:t>
      </w:r>
      <w:proofErr w:type="spellStart"/>
      <w:r>
        <w:rPr>
          <w:rFonts w:eastAsia="Calibri"/>
        </w:rPr>
        <w:t>Аргаяшского</w:t>
      </w:r>
      <w:proofErr w:type="spellEnd"/>
      <w:r>
        <w:rPr>
          <w:rFonts w:eastAsia="Calibri"/>
        </w:rPr>
        <w:t xml:space="preserve"> муниципального района входит 12 сельских поселений и 86 населенных пунктов. </w:t>
      </w:r>
    </w:p>
    <w:p w:rsidR="00946FD4" w:rsidRDefault="00BA37DA">
      <w:pPr>
        <w:pStyle w:val="a8"/>
        <w:ind w:firstLine="698"/>
        <w:rPr>
          <w:rFonts w:eastAsia="Calibri"/>
        </w:rPr>
      </w:pPr>
      <w:r>
        <w:rPr>
          <w:rFonts w:eastAsia="Calibri"/>
        </w:rPr>
        <w:t xml:space="preserve">Климат </w:t>
      </w:r>
      <w:proofErr w:type="spellStart"/>
      <w:r>
        <w:rPr>
          <w:rFonts w:eastAsia="Calibri"/>
        </w:rPr>
        <w:t>Аргаяшского</w:t>
      </w:r>
      <w:proofErr w:type="spellEnd"/>
      <w:r>
        <w:rPr>
          <w:rFonts w:eastAsia="Calibri"/>
        </w:rPr>
        <w:t xml:space="preserve"> муниципального района контин</w:t>
      </w:r>
      <w:r>
        <w:rPr>
          <w:rFonts w:eastAsia="Calibri"/>
        </w:rPr>
        <w:t>ентальный. Зима холодная и продолжительная, лето относительно жаркое с периодически повторяющимися засухами. На формирование климата существенно влияют Уральские горы, создающие препятствие на пути движения западных воздушных масс. Температура воздуха зави</w:t>
      </w:r>
      <w:r>
        <w:rPr>
          <w:rFonts w:eastAsia="Calibri"/>
        </w:rPr>
        <w:t xml:space="preserve">сит как от влияния поступающих на территорию области воздушных масс, так и от количества получаемой солнечной энергии. </w:t>
      </w:r>
    </w:p>
    <w:p w:rsidR="00946FD4" w:rsidRDefault="00BA37DA">
      <w:pPr>
        <w:pStyle w:val="a8"/>
        <w:ind w:firstLine="698"/>
        <w:rPr>
          <w:rFonts w:eastAsia="Calibri"/>
        </w:rPr>
      </w:pPr>
      <w:r>
        <w:rPr>
          <w:rFonts w:eastAsia="Calibri"/>
        </w:rPr>
        <w:t xml:space="preserve">С точки зрения инфраструктуры </w:t>
      </w:r>
      <w:proofErr w:type="spellStart"/>
      <w:r>
        <w:rPr>
          <w:rFonts w:eastAsia="Calibri"/>
        </w:rPr>
        <w:t>Аргаяшский</w:t>
      </w:r>
      <w:proofErr w:type="spellEnd"/>
      <w:r>
        <w:rPr>
          <w:rFonts w:eastAsia="Calibri"/>
        </w:rPr>
        <w:t xml:space="preserve"> район является наиболее развитым сельским районом не только в Челябинской области, но и на Урал</w:t>
      </w:r>
      <w:r>
        <w:rPr>
          <w:rFonts w:eastAsia="Calibri"/>
        </w:rPr>
        <w:t>е Традиционная специализация района - сельское хозяйство, основные направления которого овощеводство, растениеводство и разведение крупного рогатого скота. Здесь функционируют сельхозпредприятия, фермерские хозяйства, птицефабрика, хлебозавод, завод по про</w:t>
      </w:r>
      <w:r>
        <w:rPr>
          <w:rFonts w:eastAsia="Calibri"/>
        </w:rPr>
        <w:t xml:space="preserve">изводству алюминиевых банок. </w:t>
      </w:r>
    </w:p>
    <w:p w:rsidR="00946FD4" w:rsidRDefault="00BA37DA">
      <w:pPr>
        <w:pStyle w:val="a8"/>
        <w:ind w:firstLine="698"/>
        <w:rPr>
          <w:rFonts w:eastAsia="Calibri"/>
        </w:rPr>
      </w:pPr>
      <w:proofErr w:type="spellStart"/>
      <w:r>
        <w:rPr>
          <w:rFonts w:eastAsia="Calibri"/>
        </w:rPr>
        <w:t>Аргаяшский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район-озерный</w:t>
      </w:r>
      <w:proofErr w:type="spellEnd"/>
      <w:proofErr w:type="gramEnd"/>
      <w:r>
        <w:rPr>
          <w:rFonts w:eastAsia="Calibri"/>
        </w:rPr>
        <w:t xml:space="preserve"> край. Одно из озер – озеро </w:t>
      </w:r>
      <w:proofErr w:type="spellStart"/>
      <w:r>
        <w:rPr>
          <w:rFonts w:eastAsia="Calibri"/>
        </w:rPr>
        <w:t>Увильды</w:t>
      </w:r>
      <w:proofErr w:type="spellEnd"/>
      <w:r>
        <w:rPr>
          <w:rFonts w:eastAsia="Calibri"/>
        </w:rPr>
        <w:t xml:space="preserve"> – жемчужина Южного Урала, которое является самым крупным озером на Урале. На территории района функционирует климатический и бальнеологический курорт «</w:t>
      </w:r>
      <w:proofErr w:type="spellStart"/>
      <w:r>
        <w:rPr>
          <w:rFonts w:eastAsia="Calibri"/>
        </w:rPr>
        <w:t>Увильды</w:t>
      </w:r>
      <w:proofErr w:type="spellEnd"/>
      <w:r>
        <w:rPr>
          <w:rFonts w:eastAsia="Calibri"/>
        </w:rPr>
        <w:t xml:space="preserve">». </w:t>
      </w:r>
    </w:p>
    <w:p w:rsidR="00946FD4" w:rsidRDefault="00946FD4">
      <w:pPr>
        <w:pStyle w:val="a8"/>
        <w:rPr>
          <w:rFonts w:eastAsia="Calibri"/>
        </w:rPr>
      </w:pPr>
    </w:p>
    <w:p w:rsidR="00946FD4" w:rsidRDefault="00BA37DA">
      <w:pPr>
        <w:pStyle w:val="a8"/>
        <w:rPr>
          <w:rFonts w:eastAsia="Calibri"/>
          <w:b/>
          <w:i/>
        </w:rPr>
      </w:pPr>
      <w:r>
        <w:rPr>
          <w:rFonts w:eastAsia="Calibri"/>
          <w:b/>
          <w:i/>
        </w:rPr>
        <w:t>Дем</w:t>
      </w:r>
      <w:r>
        <w:rPr>
          <w:rFonts w:eastAsia="Calibri"/>
          <w:b/>
          <w:i/>
        </w:rPr>
        <w:t>ографическая характеристика района</w:t>
      </w:r>
    </w:p>
    <w:p w:rsidR="00946FD4" w:rsidRDefault="00946FD4">
      <w:pPr>
        <w:pStyle w:val="a8"/>
        <w:rPr>
          <w:rFonts w:eastAsia="Calibri"/>
        </w:rPr>
      </w:pPr>
    </w:p>
    <w:p w:rsidR="00946FD4" w:rsidRDefault="00BA37DA">
      <w:pPr>
        <w:pStyle w:val="a8"/>
        <w:ind w:firstLine="698"/>
        <w:rPr>
          <w:rFonts w:eastAsia="Calibri"/>
        </w:rPr>
      </w:pPr>
      <w:proofErr w:type="spellStart"/>
      <w:r>
        <w:rPr>
          <w:rFonts w:eastAsia="Calibri"/>
        </w:rPr>
        <w:t>Аргаяшский</w:t>
      </w:r>
      <w:proofErr w:type="spellEnd"/>
      <w:r>
        <w:rPr>
          <w:rFonts w:eastAsia="Calibri"/>
        </w:rPr>
        <w:t xml:space="preserve"> муниципальный район крупный многонациональный район, в котором преобладает башкирское население, доля которого составляет в разных частях района от 50 до 60 процентов.</w:t>
      </w:r>
    </w:p>
    <w:p w:rsidR="00946FD4" w:rsidRDefault="00BA37DA">
      <w:pPr>
        <w:pStyle w:val="a8"/>
        <w:ind w:firstLine="698"/>
        <w:rPr>
          <w:rFonts w:eastAsia="Calibri"/>
        </w:rPr>
      </w:pPr>
      <w:r>
        <w:rPr>
          <w:rFonts w:eastAsia="Calibri"/>
        </w:rPr>
        <w:t xml:space="preserve">Структура населения по основным </w:t>
      </w:r>
      <w:r>
        <w:rPr>
          <w:rFonts w:eastAsia="Calibri"/>
        </w:rPr>
        <w:t>возрастным группам на 1 января 2019 года: моложе трудоспособного возраста – 26.1 процента, в трудоспособном возрасте – 50.0 процента, старше трудоспособного возраста – 23.9 процента.</w:t>
      </w:r>
    </w:p>
    <w:p w:rsidR="00946FD4" w:rsidRDefault="00BA37DA">
      <w:pPr>
        <w:pStyle w:val="a8"/>
        <w:ind w:firstLine="698"/>
        <w:rPr>
          <w:rFonts w:eastAsia="Calibri"/>
        </w:rPr>
      </w:pPr>
      <w:r>
        <w:rPr>
          <w:rFonts w:eastAsia="Calibri"/>
        </w:rPr>
        <w:t xml:space="preserve">Численность населения и распределение населения по возрастным группам </w:t>
      </w:r>
      <w:proofErr w:type="spellStart"/>
      <w:r>
        <w:rPr>
          <w:rFonts w:eastAsia="Calibri"/>
        </w:rPr>
        <w:t>Арг</w:t>
      </w:r>
      <w:r>
        <w:rPr>
          <w:rFonts w:eastAsia="Calibri"/>
        </w:rPr>
        <w:t>аяшского</w:t>
      </w:r>
      <w:proofErr w:type="spellEnd"/>
      <w:r>
        <w:rPr>
          <w:rFonts w:eastAsia="Calibri"/>
        </w:rPr>
        <w:t xml:space="preserve"> муниципального района представлена в таблице </w:t>
      </w:r>
    </w:p>
    <w:p w:rsidR="00946FD4" w:rsidRDefault="00946F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FD4" w:rsidRDefault="00BA3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Численность населения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Аргаяшского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муниципального района.</w:t>
      </w:r>
    </w:p>
    <w:p w:rsidR="00946FD4" w:rsidRDefault="00BA3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представлена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в таблице 1.</w:t>
      </w:r>
    </w:p>
    <w:p w:rsidR="00946FD4" w:rsidRDefault="00BA37DA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946FD4" w:rsidRDefault="00946F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</w:p>
    <w:tbl>
      <w:tblPr>
        <w:tblStyle w:val="10"/>
        <w:tblW w:w="4600" w:type="pct"/>
        <w:tblInd w:w="108" w:type="dxa"/>
        <w:tblLook w:val="04A0"/>
      </w:tblPr>
      <w:tblGrid>
        <w:gridCol w:w="3826"/>
        <w:gridCol w:w="1414"/>
        <w:gridCol w:w="1560"/>
        <w:gridCol w:w="2266"/>
      </w:tblGrid>
      <w:tr w:rsidR="00946FD4">
        <w:tc>
          <w:tcPr>
            <w:tcW w:w="3741" w:type="dxa"/>
          </w:tcPr>
          <w:p w:rsidR="00946FD4" w:rsidRDefault="00946FD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2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216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</w:tr>
      <w:tr w:rsidR="00946FD4">
        <w:trPr>
          <w:trHeight w:val="436"/>
        </w:trPr>
        <w:tc>
          <w:tcPr>
            <w:tcW w:w="3741" w:type="dxa"/>
          </w:tcPr>
          <w:p w:rsidR="00946FD4" w:rsidRDefault="00BA3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население, человек</w:t>
            </w:r>
          </w:p>
        </w:tc>
        <w:tc>
          <w:tcPr>
            <w:tcW w:w="1383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40540</w:t>
            </w:r>
          </w:p>
        </w:tc>
        <w:tc>
          <w:tcPr>
            <w:tcW w:w="152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40516</w:t>
            </w:r>
          </w:p>
        </w:tc>
        <w:tc>
          <w:tcPr>
            <w:tcW w:w="2216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40412</w:t>
            </w:r>
          </w:p>
        </w:tc>
      </w:tr>
      <w:tr w:rsidR="00946FD4">
        <w:tc>
          <w:tcPr>
            <w:tcW w:w="3741" w:type="dxa"/>
          </w:tcPr>
          <w:p w:rsidR="00946FD4" w:rsidRDefault="00BA3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Городское </w:t>
            </w:r>
          </w:p>
        </w:tc>
        <w:tc>
          <w:tcPr>
            <w:tcW w:w="1383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46FD4">
        <w:tc>
          <w:tcPr>
            <w:tcW w:w="3741" w:type="dxa"/>
          </w:tcPr>
          <w:p w:rsidR="00946FD4" w:rsidRDefault="00BA3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Сельское </w:t>
            </w:r>
          </w:p>
        </w:tc>
        <w:tc>
          <w:tcPr>
            <w:tcW w:w="1383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40540</w:t>
            </w:r>
          </w:p>
        </w:tc>
        <w:tc>
          <w:tcPr>
            <w:tcW w:w="152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40516</w:t>
            </w:r>
          </w:p>
        </w:tc>
        <w:tc>
          <w:tcPr>
            <w:tcW w:w="2216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40412</w:t>
            </w:r>
          </w:p>
        </w:tc>
      </w:tr>
      <w:tr w:rsidR="00946FD4">
        <w:trPr>
          <w:trHeight w:val="590"/>
        </w:trPr>
        <w:tc>
          <w:tcPr>
            <w:tcW w:w="3741" w:type="dxa"/>
          </w:tcPr>
          <w:p w:rsidR="00946FD4" w:rsidRDefault="00BA3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общей численности населения, процентов </w:t>
            </w:r>
          </w:p>
          <w:p w:rsidR="00946FD4" w:rsidRDefault="00BA3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Городское </w:t>
            </w:r>
          </w:p>
        </w:tc>
        <w:tc>
          <w:tcPr>
            <w:tcW w:w="1383" w:type="dxa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46FD4">
        <w:tc>
          <w:tcPr>
            <w:tcW w:w="3741" w:type="dxa"/>
          </w:tcPr>
          <w:p w:rsidR="00946FD4" w:rsidRDefault="00BA3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Сельское</w:t>
            </w:r>
          </w:p>
        </w:tc>
        <w:tc>
          <w:tcPr>
            <w:tcW w:w="1383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6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946FD4" w:rsidRDefault="00BA37DA">
      <w:pPr>
        <w:tabs>
          <w:tab w:val="center" w:pos="4677"/>
          <w:tab w:val="right" w:pos="9355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</w:rPr>
        <w:t>Оценка на 1 января соответствующего года</w:t>
      </w:r>
    </w:p>
    <w:p w:rsidR="00946FD4" w:rsidRDefault="00946F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FD4" w:rsidRDefault="00BA37D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Структура населения по основным возрастным группам на протяжении трех лет  существенно не меняется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моложе трудоспособного возраста  2019 г. – 26 % 2020 г. -26,1% 2021 г.-26,2% , в трудоспособном возрасте –  2019 г. 50  % 2020 г. -50,8%, 2021 г. -50,4%,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тарше трудоспособного возраста – 2019г.- 24%, 2020г.-23,1%, 2021г.-23,4%. </w:t>
      </w:r>
    </w:p>
    <w:p w:rsidR="00946FD4" w:rsidRDefault="00BA37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Распределение населения по возрастным группам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таблице 2.</w:t>
      </w:r>
    </w:p>
    <w:p w:rsidR="00946FD4" w:rsidRDefault="00946FD4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46FD4" w:rsidRDefault="00BA37DA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:rsidR="00946FD4" w:rsidRDefault="00BA37DA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Распределение населения по возрастным группам (человек)</w:t>
      </w:r>
    </w:p>
    <w:p w:rsidR="00946FD4" w:rsidRDefault="00BA37DA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Аргаяшского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муниципального района</w:t>
      </w:r>
    </w:p>
    <w:tbl>
      <w:tblPr>
        <w:tblStyle w:val="2"/>
        <w:tblW w:w="4500" w:type="pct"/>
        <w:tblInd w:w="108" w:type="dxa"/>
        <w:tblLook w:val="04A0"/>
      </w:tblPr>
      <w:tblGrid>
        <w:gridCol w:w="3802"/>
        <w:gridCol w:w="1382"/>
        <w:gridCol w:w="1434"/>
        <w:gridCol w:w="2251"/>
      </w:tblGrid>
      <w:tr w:rsidR="00946FD4">
        <w:tc>
          <w:tcPr>
            <w:tcW w:w="3719" w:type="dxa"/>
          </w:tcPr>
          <w:p w:rsidR="00946FD4" w:rsidRDefault="00946FD4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02" w:type="dxa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201" w:type="dxa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</w:tr>
      <w:tr w:rsidR="00946FD4">
        <w:trPr>
          <w:trHeight w:val="436"/>
        </w:trPr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Численность населения на 01.01., всего (Росстат)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40 540,00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40 516,00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40 412,00</w:t>
            </w:r>
          </w:p>
        </w:tc>
      </w:tr>
      <w:tr w:rsidR="00946FD4"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городское население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946FD4"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сельское население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40 540,00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40 516,00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40 412,00</w:t>
            </w:r>
          </w:p>
        </w:tc>
      </w:tr>
      <w:tr w:rsidR="00946FD4">
        <w:trPr>
          <w:trHeight w:val="590"/>
        </w:trPr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трудоспособного возраста 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20 280,00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20 571,00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20 357,00</w:t>
            </w:r>
          </w:p>
        </w:tc>
      </w:tr>
      <w:tr w:rsidR="00946FD4">
        <w:trPr>
          <w:trHeight w:val="590"/>
        </w:trPr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старше трудоспособного возраста 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9 714,00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9 352,00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9 456,00</w:t>
            </w:r>
          </w:p>
        </w:tc>
      </w:tr>
      <w:tr w:rsidR="00946FD4"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0-17 лет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10 749,00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10 683,00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11 694,00</w:t>
            </w:r>
          </w:p>
        </w:tc>
      </w:tr>
      <w:tr w:rsidR="00946FD4"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до 1 года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412,00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553,00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523,00</w:t>
            </w:r>
          </w:p>
        </w:tc>
      </w:tr>
      <w:tr w:rsidR="00946FD4"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0-14 лет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9 260,00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9 095,00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10 071,00</w:t>
            </w:r>
          </w:p>
        </w:tc>
      </w:tr>
      <w:tr w:rsidR="00946FD4"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подростки 15-17 лет 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1 489,00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1 588,00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1 623,00</w:t>
            </w:r>
          </w:p>
        </w:tc>
      </w:tr>
      <w:tr w:rsidR="00946FD4">
        <w:tc>
          <w:tcPr>
            <w:tcW w:w="3719" w:type="dxa"/>
            <w:vAlign w:val="center"/>
          </w:tcPr>
          <w:p w:rsidR="00946FD4" w:rsidRDefault="00BA37D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взрослые 18 лет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135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29 791,00</w:t>
            </w:r>
          </w:p>
        </w:tc>
        <w:tc>
          <w:tcPr>
            <w:tcW w:w="1402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29 833,00</w:t>
            </w:r>
          </w:p>
        </w:tc>
        <w:tc>
          <w:tcPr>
            <w:tcW w:w="2201" w:type="dxa"/>
            <w:vAlign w:val="center"/>
          </w:tcPr>
          <w:p w:rsidR="00946FD4" w:rsidRDefault="00BA37D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28 718,00</w:t>
            </w:r>
          </w:p>
        </w:tc>
      </w:tr>
    </w:tbl>
    <w:p w:rsidR="00946FD4" w:rsidRDefault="00946F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6FD4" w:rsidRDefault="00946F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6FD4" w:rsidRDefault="00BA3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тысячу жителей трудоспособного возраста  в 2021 г. приходилось - 1038 человека нетрудоспособного возраста, из них: детей и подростков (0-17 лет) – 574 человека, старше трудоспособного возраста – 464 человек. </w:t>
      </w:r>
    </w:p>
    <w:p w:rsidR="00946FD4" w:rsidRDefault="00BA37DA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p w:rsidR="00946FD4" w:rsidRDefault="00BA37DA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Численность мужчин и женщин</w:t>
      </w:r>
    </w:p>
    <w:tbl>
      <w:tblPr>
        <w:tblStyle w:val="2"/>
        <w:tblW w:w="4650" w:type="pct"/>
        <w:tblInd w:w="108" w:type="dxa"/>
        <w:tblLook w:val="04A0"/>
      </w:tblPr>
      <w:tblGrid>
        <w:gridCol w:w="4267"/>
        <w:gridCol w:w="1069"/>
        <w:gridCol w:w="1572"/>
        <w:gridCol w:w="2256"/>
      </w:tblGrid>
      <w:tr w:rsidR="00946FD4">
        <w:tc>
          <w:tcPr>
            <w:tcW w:w="4174" w:type="dxa"/>
          </w:tcPr>
          <w:p w:rsidR="00946FD4" w:rsidRDefault="00946FD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37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206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</w:tr>
      <w:tr w:rsidR="00946FD4">
        <w:tc>
          <w:tcPr>
            <w:tcW w:w="4174" w:type="dxa"/>
          </w:tcPr>
          <w:p w:rsidR="00946FD4" w:rsidRDefault="00BA37D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население, человек:</w:t>
            </w:r>
          </w:p>
        </w:tc>
        <w:tc>
          <w:tcPr>
            <w:tcW w:w="1045" w:type="dxa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40540</w:t>
            </w:r>
          </w:p>
        </w:tc>
        <w:tc>
          <w:tcPr>
            <w:tcW w:w="1537" w:type="dxa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40516</w:t>
            </w:r>
          </w:p>
        </w:tc>
        <w:tc>
          <w:tcPr>
            <w:tcW w:w="2206" w:type="dxa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40412</w:t>
            </w:r>
          </w:p>
        </w:tc>
      </w:tr>
      <w:tr w:rsidR="00946FD4">
        <w:tc>
          <w:tcPr>
            <w:tcW w:w="4174" w:type="dxa"/>
          </w:tcPr>
          <w:p w:rsidR="00946FD4" w:rsidRDefault="00BA37D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04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19528</w:t>
            </w:r>
          </w:p>
        </w:tc>
        <w:tc>
          <w:tcPr>
            <w:tcW w:w="1537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19449</w:t>
            </w:r>
          </w:p>
        </w:tc>
        <w:tc>
          <w:tcPr>
            <w:tcW w:w="2206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19489</w:t>
            </w:r>
          </w:p>
        </w:tc>
      </w:tr>
      <w:tr w:rsidR="00946FD4">
        <w:tc>
          <w:tcPr>
            <w:tcW w:w="4174" w:type="dxa"/>
          </w:tcPr>
          <w:p w:rsidR="00946FD4" w:rsidRDefault="00BA37D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04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21248</w:t>
            </w:r>
          </w:p>
        </w:tc>
        <w:tc>
          <w:tcPr>
            <w:tcW w:w="1537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21067</w:t>
            </w:r>
          </w:p>
        </w:tc>
        <w:tc>
          <w:tcPr>
            <w:tcW w:w="2206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20923</w:t>
            </w:r>
          </w:p>
        </w:tc>
      </w:tr>
      <w:tr w:rsidR="00946FD4">
        <w:trPr>
          <w:trHeight w:val="719"/>
        </w:trPr>
        <w:tc>
          <w:tcPr>
            <w:tcW w:w="4174" w:type="dxa"/>
          </w:tcPr>
          <w:p w:rsidR="00946FD4" w:rsidRDefault="00BA37D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общей численности населения, процентов</w:t>
            </w:r>
          </w:p>
          <w:p w:rsidR="00946FD4" w:rsidRDefault="00BA37D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045" w:type="dxa"/>
            <w:vAlign w:val="bottom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7" w:type="dxa"/>
            <w:vAlign w:val="bottom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06" w:type="dxa"/>
            <w:vAlign w:val="bottom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946FD4">
        <w:trPr>
          <w:trHeight w:val="307"/>
        </w:trPr>
        <w:tc>
          <w:tcPr>
            <w:tcW w:w="4174" w:type="dxa"/>
          </w:tcPr>
          <w:p w:rsidR="00946FD4" w:rsidRDefault="00BA37D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04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37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06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946FD4">
        <w:trPr>
          <w:trHeight w:val="269"/>
        </w:trPr>
        <w:tc>
          <w:tcPr>
            <w:tcW w:w="4174" w:type="dxa"/>
          </w:tcPr>
          <w:p w:rsidR="00946FD4" w:rsidRDefault="00BA37D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1000 мужчин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приходится женщин</w:t>
            </w:r>
          </w:p>
        </w:tc>
        <w:tc>
          <w:tcPr>
            <w:tcW w:w="1045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537" w:type="dxa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06" w:type="dxa"/>
          </w:tcPr>
          <w:p w:rsidR="00946FD4" w:rsidRDefault="00BA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1073</w:t>
            </w:r>
          </w:p>
        </w:tc>
      </w:tr>
    </w:tbl>
    <w:p w:rsidR="00946FD4" w:rsidRDefault="00BA37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 xml:space="preserve">Анализ заболеваемости и смертности населения в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Аргаяшском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муниципальном районе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от неинфекционных заболеваний.</w:t>
      </w:r>
    </w:p>
    <w:p w:rsidR="00946FD4" w:rsidRDefault="00BA3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течение последних трех лет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Аргаяшском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отмечается снижение общего коэффициента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смертности, который в 2021 году составил 16,11 в расчете на 1 000 населения, который ниже по сравнению со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среднеобластными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показателями, в то же время снизился общий коэффициент рождаемости с 14,66 в 2019г. до 12,94 в 2021 г. в расчете на 1 000 населения.</w:t>
      </w:r>
      <w:proofErr w:type="gramEnd"/>
    </w:p>
    <w:p w:rsidR="00946FD4" w:rsidRDefault="00946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D4" w:rsidRDefault="00BA3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Смертность от болезней системы кровообращения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Аргаяшском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умерших от болезней системы кровообращения представлено в таблице 4.</w:t>
      </w:r>
      <w:proofErr w:type="gramEnd"/>
    </w:p>
    <w:p w:rsidR="00946FD4" w:rsidRDefault="00946F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FD4" w:rsidRDefault="00BA37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4</w:t>
      </w:r>
    </w:p>
    <w:p w:rsidR="00946FD4" w:rsidRDefault="00946F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900" w:type="pct"/>
        <w:tblInd w:w="108" w:type="dxa"/>
        <w:tblLook w:val="0000"/>
      </w:tblPr>
      <w:tblGrid>
        <w:gridCol w:w="4778"/>
        <w:gridCol w:w="2107"/>
        <w:gridCol w:w="1407"/>
        <w:gridCol w:w="1365"/>
      </w:tblGrid>
      <w:tr w:rsidR="00946FD4">
        <w:trPr>
          <w:trHeight w:val="198"/>
        </w:trPr>
        <w:tc>
          <w:tcPr>
            <w:tcW w:w="9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от болезней системы кровообращения на 100 тыс. населения</w:t>
            </w:r>
            <w:proofErr w:type="gramEnd"/>
          </w:p>
        </w:tc>
      </w:tr>
      <w:tr w:rsidR="00946FD4">
        <w:trPr>
          <w:trHeight w:val="28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946F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год*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Смертность от болезней системы кровообращения на 100 000 населения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624,26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676,28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415,72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умерших от болезней системы кровообращения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Смертность от ишемических болезней сердца (на 100 000 населения)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365,18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422,06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291,99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умерших от ишемических болезней сердца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Смертность от инфаркта миокарда на 100 000 населения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46,88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24,75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умерших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инфаркта миокарда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Смертность от цереброваскулярных болезней (на 100 000 населения)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71,56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125,88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56,91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умерших от цереброваскулярных болезней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Смертность от острого нарушения мозгового кровообращения на 100 000 населения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64,15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39,59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умерших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острого нарушения мозгового кровообращения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946FD4">
        <w:trPr>
          <w:trHeight w:val="25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Всего по Челябинской области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527,4</w:t>
            </w:r>
          </w:p>
        </w:tc>
      </w:tr>
    </w:tbl>
    <w:p w:rsidR="00946FD4" w:rsidRDefault="00946F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FD4" w:rsidRDefault="00BA37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Число умерших от новообразований на 100 тыс. населения представлено в таблице 5.</w:t>
      </w:r>
      <w:proofErr w:type="gramEnd"/>
    </w:p>
    <w:p w:rsidR="00946FD4" w:rsidRDefault="00BA37DA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5</w:t>
      </w:r>
    </w:p>
    <w:tbl>
      <w:tblPr>
        <w:tblW w:w="4850" w:type="pct"/>
        <w:tblInd w:w="109" w:type="dxa"/>
        <w:tblLook w:val="0000"/>
      </w:tblPr>
      <w:tblGrid>
        <w:gridCol w:w="5905"/>
        <w:gridCol w:w="1262"/>
        <w:gridCol w:w="1125"/>
        <w:gridCol w:w="1266"/>
      </w:tblGrid>
      <w:tr w:rsidR="00946FD4">
        <w:trPr>
          <w:trHeight w:val="198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от новообразований на 100 тыс. населения</w:t>
            </w:r>
            <w:proofErr w:type="gramEnd"/>
          </w:p>
        </w:tc>
      </w:tr>
      <w:tr w:rsidR="00946FD4">
        <w:trPr>
          <w:trHeight w:val="28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946F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год*</w:t>
            </w:r>
          </w:p>
        </w:tc>
      </w:tr>
      <w:tr w:rsidR="00946FD4">
        <w:trPr>
          <w:trHeight w:val="255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Смертность от новообразований (на 100 000 населения)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168,27</w:t>
            </w:r>
          </w:p>
        </w:tc>
      </w:tr>
      <w:tr w:rsidR="00946FD4">
        <w:trPr>
          <w:trHeight w:val="255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умерших от новообразований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946FD4">
        <w:trPr>
          <w:trHeight w:val="255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Смертность от злокачественных новообразований (на 100 000 населения)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168,27</w:t>
            </w:r>
          </w:p>
        </w:tc>
      </w:tr>
      <w:tr w:rsidR="00946FD4">
        <w:trPr>
          <w:trHeight w:val="255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умерших от злокачественных новообразований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946FD4">
        <w:trPr>
          <w:trHeight w:val="255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Челябинской области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212,2</w:t>
            </w:r>
          </w:p>
        </w:tc>
      </w:tr>
    </w:tbl>
    <w:p w:rsidR="00946FD4" w:rsidRDefault="00946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46FD4" w:rsidRDefault="00BA3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Число умерших от дорожно-транспортных происшествий на 100 тыс. человек представлено в таблице 6.</w:t>
      </w:r>
    </w:p>
    <w:p w:rsidR="00946FD4" w:rsidRDefault="00BA37D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6</w:t>
      </w:r>
    </w:p>
    <w:tbl>
      <w:tblPr>
        <w:tblW w:w="4900" w:type="pct"/>
        <w:tblInd w:w="108" w:type="dxa"/>
        <w:tblLook w:val="0000"/>
      </w:tblPr>
      <w:tblGrid>
        <w:gridCol w:w="5979"/>
        <w:gridCol w:w="1137"/>
        <w:gridCol w:w="1093"/>
        <w:gridCol w:w="1448"/>
      </w:tblGrid>
      <w:tr w:rsidR="00946FD4">
        <w:trPr>
          <w:trHeight w:val="198"/>
        </w:trPr>
        <w:tc>
          <w:tcPr>
            <w:tcW w:w="9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от дорожно-транспортных происшествий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100 тыс. населения</w:t>
            </w:r>
            <w:proofErr w:type="gramEnd"/>
          </w:p>
        </w:tc>
      </w:tr>
      <w:tr w:rsidR="00946FD4">
        <w:trPr>
          <w:trHeight w:val="281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94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год*</w:t>
            </w:r>
          </w:p>
        </w:tc>
      </w:tr>
      <w:tr w:rsidR="00946FD4">
        <w:trPr>
          <w:trHeight w:val="255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Смертность от внешних причин (на 100 000 населения)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207,26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217,2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183,11</w:t>
            </w:r>
          </w:p>
        </w:tc>
      </w:tr>
      <w:tr w:rsidR="00946FD4">
        <w:trPr>
          <w:trHeight w:val="255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умерших от внешних причин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946FD4">
        <w:trPr>
          <w:trHeight w:val="255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Смертность от ДТП (на 100 000 населения)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27,14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12,37</w:t>
            </w:r>
          </w:p>
        </w:tc>
      </w:tr>
      <w:tr w:rsidR="00946FD4">
        <w:trPr>
          <w:trHeight w:val="255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умерших от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ДТП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46FD4">
        <w:trPr>
          <w:trHeight w:val="255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Челябинской области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105,2</w:t>
            </w:r>
          </w:p>
        </w:tc>
      </w:tr>
    </w:tbl>
    <w:p w:rsidR="00946FD4" w:rsidRDefault="00946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FD4" w:rsidRDefault="00BA3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Число умерших от болезней органов пищеварения на 100 тыс. населения представлено в таблице 7.</w:t>
      </w:r>
    </w:p>
    <w:p w:rsidR="00946FD4" w:rsidRDefault="00946FD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FD4" w:rsidRDefault="00BA37DA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7</w:t>
      </w:r>
    </w:p>
    <w:tbl>
      <w:tblPr>
        <w:tblW w:w="4850" w:type="pct"/>
        <w:tblInd w:w="109" w:type="dxa"/>
        <w:tblLook w:val="0000"/>
      </w:tblPr>
      <w:tblGrid>
        <w:gridCol w:w="3793"/>
        <w:gridCol w:w="1548"/>
        <w:gridCol w:w="2249"/>
        <w:gridCol w:w="1968"/>
      </w:tblGrid>
      <w:tr w:rsidR="00946FD4">
        <w:trPr>
          <w:trHeight w:val="198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от болезней органов пищеварения на 100 тыс. населения</w:t>
            </w:r>
          </w:p>
        </w:tc>
      </w:tr>
      <w:tr w:rsidR="00946FD4">
        <w:trPr>
          <w:trHeight w:val="281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94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год*</w:t>
            </w:r>
          </w:p>
        </w:tc>
      </w:tr>
      <w:tr w:rsidR="00946FD4">
        <w:trPr>
          <w:trHeight w:val="25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Смертность от болезней органов пищеварения на 100 000 населения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101,19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61,86</w:t>
            </w:r>
          </w:p>
        </w:tc>
      </w:tr>
      <w:tr w:rsidR="00946FD4">
        <w:trPr>
          <w:trHeight w:val="25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Число умерших от болезней органов пищеварения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946FD4">
        <w:trPr>
          <w:trHeight w:val="25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Челябинской области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95,4</w:t>
            </w:r>
          </w:p>
        </w:tc>
      </w:tr>
    </w:tbl>
    <w:p w:rsidR="00946FD4" w:rsidRDefault="00946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FD4" w:rsidRDefault="00BA3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Число умерших от болезней органов дыхания на 100 тыс. населения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представлено в таблице 8.</w:t>
      </w:r>
    </w:p>
    <w:p w:rsidR="00946FD4" w:rsidRDefault="00BA37DA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8</w:t>
      </w:r>
    </w:p>
    <w:tbl>
      <w:tblPr>
        <w:tblW w:w="4850" w:type="pct"/>
        <w:tblInd w:w="109" w:type="dxa"/>
        <w:tblLook w:val="0000"/>
      </w:tblPr>
      <w:tblGrid>
        <w:gridCol w:w="5765"/>
        <w:gridCol w:w="1407"/>
        <w:gridCol w:w="1263"/>
        <w:gridCol w:w="1123"/>
      </w:tblGrid>
      <w:tr w:rsidR="00946FD4">
        <w:trPr>
          <w:trHeight w:val="198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от болезней органов дыхания на 100 тыс. населения</w:t>
            </w:r>
          </w:p>
        </w:tc>
      </w:tr>
      <w:tr w:rsidR="00946FD4">
        <w:trPr>
          <w:trHeight w:val="281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94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946FD4">
        <w:trPr>
          <w:trHeight w:val="255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Смертность от болезней органов дыхания на 100 000 населения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93,79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56,91</w:t>
            </w:r>
          </w:p>
        </w:tc>
      </w:tr>
      <w:tr w:rsidR="00946FD4">
        <w:trPr>
          <w:trHeight w:val="255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умерших от болезней органов дыхания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946FD4">
        <w:trPr>
          <w:trHeight w:val="255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Челябинской области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66,1</w:t>
            </w:r>
          </w:p>
        </w:tc>
      </w:tr>
    </w:tbl>
    <w:p w:rsidR="00946FD4" w:rsidRDefault="00946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46FD4" w:rsidRDefault="00BA3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Заболеваемость. Общая заболеваемость.  Структура заболеваемости. Первичная заболеваемость по обращаемости.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Первичная заболеваемость по обращаемости населения.  </w:t>
      </w:r>
    </w:p>
    <w:p w:rsidR="00946FD4" w:rsidRDefault="00946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FD4" w:rsidRDefault="00BA37DA">
      <w:pPr>
        <w:pStyle w:val="a8"/>
        <w:ind w:firstLine="557"/>
        <w:rPr>
          <w:rFonts w:eastAsia="Calibri"/>
        </w:rPr>
      </w:pPr>
      <w:r>
        <w:rPr>
          <w:rFonts w:eastAsia="Calibri"/>
          <w:b/>
          <w:i/>
        </w:rPr>
        <w:t>Общая заболеваемость</w:t>
      </w:r>
      <w:r>
        <w:rPr>
          <w:rFonts w:eastAsia="Calibri"/>
        </w:rPr>
        <w:t xml:space="preserve"> – совокупность впервые выявленных в данном году заболеваний и зарегистрированных в предыдущие годы, по поводу которых вновь обратились в данном году. С 2019 по 2021 год общая заболеваемость выросла на 23%.</w:t>
      </w:r>
    </w:p>
    <w:p w:rsidR="00946FD4" w:rsidRDefault="00BA37DA">
      <w:pPr>
        <w:pStyle w:val="a8"/>
        <w:ind w:firstLine="417"/>
        <w:rPr>
          <w:rFonts w:eastAsia="Calibri"/>
        </w:rPr>
      </w:pPr>
      <w:r>
        <w:rPr>
          <w:rFonts w:eastAsia="Calibri"/>
        </w:rPr>
        <w:t xml:space="preserve">В 2021 году почти в 1,5 раза выросли заболевания </w:t>
      </w:r>
      <w:r>
        <w:rPr>
          <w:rFonts w:eastAsia="Calibri"/>
        </w:rPr>
        <w:t xml:space="preserve"> органов дыхания с 218,4 в  2019 г., до 325,1 </w:t>
      </w:r>
      <w:proofErr w:type="gramStart"/>
      <w:r>
        <w:rPr>
          <w:rFonts w:eastAsia="Calibri"/>
        </w:rPr>
        <w:t>в</w:t>
      </w:r>
      <w:proofErr w:type="gramEnd"/>
      <w:r>
        <w:rPr>
          <w:rFonts w:eastAsia="Calibri"/>
        </w:rPr>
        <w:t xml:space="preserve"> 2021г., </w:t>
      </w:r>
      <w:proofErr w:type="gramStart"/>
      <w:r>
        <w:rPr>
          <w:rFonts w:eastAsia="Calibri"/>
        </w:rPr>
        <w:t>на</w:t>
      </w:r>
      <w:proofErr w:type="gramEnd"/>
      <w:r>
        <w:rPr>
          <w:rFonts w:eastAsia="Calibri"/>
        </w:rPr>
        <w:t xml:space="preserve"> протяжении последних трех лет отмечается снижение заболеваемости болезней  системы кровообращения и болезней органов пищеварения.</w:t>
      </w:r>
    </w:p>
    <w:p w:rsidR="00946FD4" w:rsidRDefault="00BA37DA">
      <w:pPr>
        <w:keepNext/>
        <w:keepLines/>
        <w:widowControl w:val="0"/>
        <w:spacing w:after="0" w:line="240" w:lineRule="auto"/>
        <w:ind w:left="10" w:right="143" w:hanging="1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0"/>
          <w:lang w:eastAsia="ru-RU"/>
        </w:rPr>
        <w:t>Структура общей заболеваемости</w:t>
      </w:r>
    </w:p>
    <w:p w:rsidR="00946FD4" w:rsidRDefault="00BA37DA">
      <w:pPr>
        <w:widowControl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0"/>
          <w:lang w:eastAsia="ru-RU"/>
        </w:rPr>
        <w:t>Таблица 8</w:t>
      </w:r>
    </w:p>
    <w:tbl>
      <w:tblPr>
        <w:tblW w:w="9639" w:type="dxa"/>
        <w:tblInd w:w="390" w:type="dxa"/>
        <w:tblCellMar>
          <w:top w:w="2" w:type="dxa"/>
          <w:left w:w="106" w:type="dxa"/>
          <w:right w:w="48" w:type="dxa"/>
        </w:tblCellMar>
        <w:tblLook w:val="04A0"/>
      </w:tblPr>
      <w:tblGrid>
        <w:gridCol w:w="2835"/>
        <w:gridCol w:w="993"/>
        <w:gridCol w:w="1134"/>
        <w:gridCol w:w="1276"/>
        <w:gridCol w:w="1133"/>
        <w:gridCol w:w="1135"/>
        <w:gridCol w:w="1133"/>
      </w:tblGrid>
      <w:tr w:rsidR="00946FD4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946FD4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2021 го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д</w:t>
            </w:r>
          </w:p>
        </w:tc>
      </w:tr>
      <w:tr w:rsidR="00946FD4">
        <w:trPr>
          <w:trHeight w:val="5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Зарегистрировано заболеваний,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center"/>
          </w:tcPr>
          <w:p w:rsidR="00946FD4" w:rsidRDefault="00BA37DA">
            <w:pPr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57396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center"/>
          </w:tcPr>
          <w:p w:rsidR="00946FD4" w:rsidRDefault="00BA37DA">
            <w:pPr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52893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center"/>
          </w:tcPr>
          <w:p w:rsidR="00946FD4" w:rsidRDefault="00BA37DA">
            <w:pPr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65310</w:t>
            </w:r>
          </w:p>
        </w:tc>
      </w:tr>
      <w:tr w:rsidR="00946FD4">
        <w:trPr>
          <w:trHeight w:val="31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В том числе по классам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946FD4" w:rsidRDefault="00946FD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946FD4" w:rsidRDefault="00BA37D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946FD4" w:rsidRDefault="00946FD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946FD4" w:rsidRDefault="00BA37D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946FD4" w:rsidRDefault="00946FD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right w:w="10" w:type="dxa"/>
            </w:tcMar>
          </w:tcPr>
          <w:p w:rsidR="00946FD4" w:rsidRDefault="00BA37D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  <w:t>%</w:t>
            </w:r>
          </w:p>
        </w:tc>
      </w:tr>
      <w:tr w:rsidR="00946FD4">
        <w:trPr>
          <w:trHeight w:val="31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инфекционные заболевания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1,3</w:t>
            </w:r>
          </w:p>
        </w:tc>
      </w:tr>
      <w:tr w:rsidR="00946FD4">
        <w:trPr>
          <w:trHeight w:val="31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онкологические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1,8</w:t>
            </w:r>
          </w:p>
        </w:tc>
      </w:tr>
      <w:tr w:rsidR="00946FD4">
        <w:trPr>
          <w:trHeight w:val="5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 w:right="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болезни  эндокринной системы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7,6</w:t>
            </w:r>
          </w:p>
        </w:tc>
      </w:tr>
      <w:tr w:rsidR="00946FD4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болезни  нервной системы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7,1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5,8</w:t>
            </w:r>
          </w:p>
        </w:tc>
      </w:tr>
      <w:tr w:rsidR="00946FD4">
        <w:trPr>
          <w:trHeight w:val="5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болезни системы кровообращения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11,7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13,1</w:t>
            </w:r>
          </w:p>
        </w:tc>
      </w:tr>
      <w:tr w:rsidR="00946FD4">
        <w:trPr>
          <w:trHeight w:val="31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болезни органов дыхания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28,6</w:t>
            </w:r>
          </w:p>
        </w:tc>
      </w:tr>
      <w:tr w:rsidR="00946FD4">
        <w:trPr>
          <w:trHeight w:val="31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lastRenderedPageBreak/>
              <w:t>болезни органов пищеварения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5,4</w:t>
            </w:r>
          </w:p>
        </w:tc>
      </w:tr>
      <w:tr w:rsidR="00946FD4">
        <w:trPr>
          <w:trHeight w:val="5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19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болезни кожи и подкожной.</w:t>
            </w:r>
          </w:p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Клетч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2,6</w:t>
            </w:r>
          </w:p>
        </w:tc>
      </w:tr>
      <w:tr w:rsidR="00946FD4">
        <w:trPr>
          <w:trHeight w:val="5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б-ни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костномышечной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системы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4,4</w:t>
            </w:r>
          </w:p>
        </w:tc>
      </w:tr>
      <w:tr w:rsidR="00946FD4">
        <w:trPr>
          <w:trHeight w:val="5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 w:right="59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болезни мочеполовой системы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7,7</w:t>
            </w:r>
          </w:p>
        </w:tc>
      </w:tr>
      <w:tr w:rsidR="00946FD4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травмы и отравления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5,4</w:t>
            </w:r>
          </w:p>
        </w:tc>
      </w:tr>
      <w:tr w:rsidR="00946FD4">
        <w:trPr>
          <w:trHeight w:val="305"/>
        </w:trPr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16,1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946FD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right w:w="10" w:type="dxa"/>
            </w:tcMar>
            <w:vAlign w:val="bottom"/>
          </w:tcPr>
          <w:p w:rsidR="00946FD4" w:rsidRDefault="00BA37DA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16,2</w:t>
            </w:r>
          </w:p>
        </w:tc>
      </w:tr>
    </w:tbl>
    <w:p w:rsidR="00946FD4" w:rsidRDefault="00946FD4">
      <w:pPr>
        <w:widowControl w:val="0"/>
        <w:spacing w:after="1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0"/>
          <w:lang w:eastAsia="ru-RU"/>
        </w:rPr>
      </w:pPr>
    </w:p>
    <w:p w:rsidR="00946FD4" w:rsidRDefault="00946FD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6FD4" w:rsidRDefault="00BA37DA">
      <w:pPr>
        <w:pStyle w:val="a8"/>
        <w:ind w:firstLine="698"/>
        <w:rPr>
          <w:rFonts w:eastAsia="Calibri"/>
        </w:rPr>
      </w:pPr>
      <w:r>
        <w:rPr>
          <w:rFonts w:eastAsia="Calibri"/>
          <w:b/>
          <w:bCs/>
          <w:i/>
        </w:rPr>
        <w:t>Первичная заболеваемость</w:t>
      </w:r>
      <w:r>
        <w:rPr>
          <w:rFonts w:eastAsia="Calibri"/>
          <w:b/>
          <w:bCs/>
        </w:rPr>
        <w:t xml:space="preserve"> –  </w:t>
      </w:r>
      <w:r>
        <w:rPr>
          <w:rFonts w:eastAsia="Calibri"/>
        </w:rPr>
        <w:t>это совокупность вновь возникших, нигде ранее не учтенных и впервые в данном году выявленных среди населения заболеваний (рецидивы хронической патологии, возникающие в течение года, не учитываются). Рассчитывается как отношение числа вновь возникших заболе</w:t>
      </w:r>
      <w:r>
        <w:rPr>
          <w:rFonts w:eastAsia="Calibri"/>
        </w:rPr>
        <w:t xml:space="preserve">ваний к средней численности населения, умноженное на 1000. </w:t>
      </w:r>
    </w:p>
    <w:p w:rsidR="00946FD4" w:rsidRDefault="00BA37DA">
      <w:pPr>
        <w:pStyle w:val="a8"/>
        <w:ind w:left="0" w:firstLine="708"/>
        <w:rPr>
          <w:rFonts w:eastAsia="Calibri"/>
        </w:rPr>
      </w:pPr>
      <w:r>
        <w:rPr>
          <w:rFonts w:eastAsia="Calibri"/>
        </w:rPr>
        <w:t>Рост первичной заболеваемости отмечается с 2019 по 2021 год за счет болезней органов дыхания, которые выросли  в 1,7 раза с 2019г. по 2021 г.</w:t>
      </w:r>
    </w:p>
    <w:p w:rsidR="00946FD4" w:rsidRDefault="00946FD4">
      <w:pPr>
        <w:spacing w:after="14" w:line="264" w:lineRule="auto"/>
        <w:ind w:right="70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0"/>
          <w:lang w:eastAsia="ru-RU"/>
        </w:rPr>
      </w:pPr>
    </w:p>
    <w:p w:rsidR="00946FD4" w:rsidRDefault="00BA37DA">
      <w:pPr>
        <w:spacing w:after="14" w:line="264" w:lineRule="auto"/>
        <w:ind w:right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первичной заболеваемости по обращаемости пр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едставлена в таблице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Таблица 9</w:t>
      </w:r>
    </w:p>
    <w:tbl>
      <w:tblPr>
        <w:tblW w:w="9214" w:type="dxa"/>
        <w:tblInd w:w="392" w:type="dxa"/>
        <w:tblCellMar>
          <w:top w:w="7" w:type="dxa"/>
          <w:right w:w="70" w:type="dxa"/>
        </w:tblCellMar>
        <w:tblLook w:val="04A0"/>
      </w:tblPr>
      <w:tblGrid>
        <w:gridCol w:w="4537"/>
        <w:gridCol w:w="1559"/>
        <w:gridCol w:w="1418"/>
        <w:gridCol w:w="1700"/>
      </w:tblGrid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right="4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1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1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left="1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2021 год</w:t>
            </w:r>
          </w:p>
        </w:tc>
      </w:tr>
      <w:tr w:rsidR="00946FD4">
        <w:trPr>
          <w:trHeight w:val="31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right="4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первичная заболеваемость,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31723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27001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33726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right="4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 том числе по классам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(%) :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946FD4">
            <w:pPr>
              <w:widowControl w:val="0"/>
              <w:spacing w:after="0" w:line="240" w:lineRule="auto"/>
              <w:ind w:left="1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946FD4">
            <w:pPr>
              <w:widowControl w:val="0"/>
              <w:spacing w:after="0" w:line="240" w:lineRule="auto"/>
              <w:ind w:left="17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946FD4">
            <w:pPr>
              <w:widowControl w:val="0"/>
              <w:spacing w:after="0" w:line="240" w:lineRule="auto"/>
              <w:ind w:left="1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инфекционные заболевания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онкологические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б-ни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эндокринной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б-ни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нервной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946FD4">
        <w:trPr>
          <w:trHeight w:val="31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ни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кровообращ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ни органов дыхания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ни  орг. пищеварения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б-н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кожи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подкожн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клетч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б-ни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костно-мышечной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б-ни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мочеполовой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</w:t>
            </w:r>
          </w:p>
        </w:tc>
      </w:tr>
      <w:tr w:rsidR="00946FD4">
        <w:trPr>
          <w:trHeight w:val="31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травмы и отравления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10,6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FD4" w:rsidRDefault="00BA37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11,2</w:t>
            </w:r>
          </w:p>
        </w:tc>
      </w:tr>
      <w:tr w:rsidR="00946FD4">
        <w:trPr>
          <w:trHeight w:val="3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946FD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right="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right="4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ind w:right="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100</w:t>
            </w:r>
          </w:p>
        </w:tc>
      </w:tr>
    </w:tbl>
    <w:p w:rsidR="00946FD4" w:rsidRDefault="00946FD4">
      <w:pPr>
        <w:spacing w:after="0" w:line="240" w:lineRule="auto"/>
        <w:ind w:left="171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FD4" w:rsidRDefault="00946F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FD4" w:rsidRDefault="00BA37D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Распространенность факторов риска развития неинфекционных заболеваний в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Аргаяшском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муниципальном районе.</w:t>
      </w:r>
    </w:p>
    <w:p w:rsidR="00946FD4" w:rsidRDefault="00946FD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28"/>
        </w:rPr>
      </w:pPr>
    </w:p>
    <w:p w:rsidR="00946FD4" w:rsidRDefault="00BA37D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Основной причиной высокой </w:t>
      </w:r>
      <w:r>
        <w:rPr>
          <w:rFonts w:ascii="Times New Roman" w:eastAsia="Calibri" w:hAnsi="Times New Roman" w:cs="Times New Roman"/>
          <w:sz w:val="28"/>
          <w:szCs w:val="28"/>
        </w:rPr>
        <w:t>частоты развития хронических неинфекционных заболеваний (далее именуется – ХНИЗ) является большая распространенность предотвратимых факторов риска, связанных с нездоровым образом жизни (употреблением табака, нерациональным питанием, недостаточной физическо</w:t>
      </w:r>
      <w:r>
        <w:rPr>
          <w:rFonts w:ascii="Times New Roman" w:eastAsia="Calibri" w:hAnsi="Times New Roman" w:cs="Times New Roman"/>
          <w:sz w:val="28"/>
          <w:szCs w:val="28"/>
        </w:rPr>
        <w:t>й активностью, злоупотреблением алкоголя)</w:t>
      </w:r>
    </w:p>
    <w:p w:rsidR="00946FD4" w:rsidRDefault="00BA37D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10</w:t>
      </w:r>
    </w:p>
    <w:tbl>
      <w:tblPr>
        <w:tblW w:w="5000" w:type="pct"/>
        <w:tblInd w:w="-176" w:type="dxa"/>
        <w:tblLook w:val="04A0"/>
      </w:tblPr>
      <w:tblGrid>
        <w:gridCol w:w="2578"/>
        <w:gridCol w:w="1156"/>
        <w:gridCol w:w="1214"/>
        <w:gridCol w:w="1156"/>
        <w:gridCol w:w="1214"/>
        <w:gridCol w:w="1156"/>
        <w:gridCol w:w="1380"/>
      </w:tblGrid>
      <w:tr w:rsidR="00946FD4">
        <w:trPr>
          <w:trHeight w:val="179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Выявляемость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факторов риска ХНИЗ при проведении диспансеризации определенных гру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взр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ослого населения</w:t>
            </w:r>
          </w:p>
        </w:tc>
      </w:tr>
      <w:tr w:rsidR="00946FD4">
        <w:trPr>
          <w:trHeight w:val="179"/>
        </w:trPr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46FD4">
        <w:trPr>
          <w:trHeight w:val="420"/>
        </w:trPr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9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</w:tr>
      <w:tr w:rsidR="00946FD4">
        <w:trPr>
          <w:trHeight w:val="42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этап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946FD4">
        <w:trPr>
          <w:trHeight w:val="35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 артериального давления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46FD4">
        <w:trPr>
          <w:trHeight w:val="40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Гипергликемия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неуточненная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</w:tr>
      <w:tr w:rsidR="00946FD4">
        <w:trPr>
          <w:trHeight w:val="40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Избыточная масса тела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8,1</w:t>
            </w:r>
          </w:p>
        </w:tc>
      </w:tr>
      <w:tr w:rsidR="00946FD4">
        <w:trPr>
          <w:trHeight w:val="30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Курение табака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946FD4">
        <w:trPr>
          <w:trHeight w:val="30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пагубного потребления алкоголя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  <w:tr w:rsidR="00946FD4">
        <w:trPr>
          <w:trHeight w:val="42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потребления наркотических средств и психотропных веществ без назначения врача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946FD4">
        <w:trPr>
          <w:trHeight w:val="42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физическая активность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</w:tr>
      <w:tr w:rsidR="00946FD4">
        <w:trPr>
          <w:trHeight w:val="30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Нерациональное питание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</w:tr>
      <w:tr w:rsidR="00946FD4">
        <w:trPr>
          <w:trHeight w:val="30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абсолютный суммарный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</w:tr>
      <w:tr w:rsidR="00946FD4">
        <w:trPr>
          <w:trHeight w:val="30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Очень высокий абсолютный суммарный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</w:tbl>
    <w:p w:rsidR="00946FD4" w:rsidRDefault="00946FD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46FD4" w:rsidRDefault="00BA37DA">
      <w:pPr>
        <w:pStyle w:val="a8"/>
        <w:ind w:firstLine="698"/>
        <w:rPr>
          <w:rFonts w:eastAsia="Calibri"/>
        </w:rPr>
      </w:pPr>
      <w:proofErr w:type="gramStart"/>
      <w:r>
        <w:rPr>
          <w:rFonts w:eastAsia="Calibri"/>
        </w:rPr>
        <w:t xml:space="preserve">В структуре факторов риска хронических неинфекционных заболеваний у населения </w:t>
      </w:r>
      <w:proofErr w:type="spellStart"/>
      <w:r>
        <w:rPr>
          <w:rFonts w:eastAsia="Calibri"/>
        </w:rPr>
        <w:t>Аргаяшского</w:t>
      </w:r>
      <w:proofErr w:type="spellEnd"/>
      <w:r>
        <w:rPr>
          <w:rFonts w:eastAsia="Calibri"/>
        </w:rPr>
        <w:t xml:space="preserve"> муниципального района, выявленных в 2019-2021 </w:t>
      </w:r>
      <w:r>
        <w:rPr>
          <w:rFonts w:eastAsia="Calibri"/>
        </w:rPr>
        <w:lastRenderedPageBreak/>
        <w:t>годах в ходе диспансеризации определенных групп взрослого населения, лидирующие позиции занимают поведенческие факторы риска: избыточная масса тела и ожирение сохраняют лидирующее место,  фактор нер</w:t>
      </w:r>
      <w:r>
        <w:rPr>
          <w:rFonts w:eastAsia="Calibri"/>
        </w:rPr>
        <w:t>ационального питания, на втором месте в 2021 году и   третье место - низкая физическая активность в 2021 году.</w:t>
      </w:r>
      <w:proofErr w:type="gramEnd"/>
    </w:p>
    <w:p w:rsidR="00946FD4" w:rsidRDefault="00BA37DA">
      <w:pPr>
        <w:pStyle w:val="a8"/>
        <w:ind w:firstLine="698"/>
        <w:rPr>
          <w:rFonts w:eastAsia="Arial"/>
        </w:rPr>
      </w:pPr>
      <w:r>
        <w:rPr>
          <w:rFonts w:eastAsia="Arial"/>
        </w:rPr>
        <w:t>Курение в сочетании с другими факторами риска (</w:t>
      </w:r>
      <w:proofErr w:type="spellStart"/>
      <w:r>
        <w:rPr>
          <w:rFonts w:eastAsia="Arial"/>
        </w:rPr>
        <w:t>гиперхолестеринемия</w:t>
      </w:r>
      <w:proofErr w:type="spellEnd"/>
      <w:r>
        <w:rPr>
          <w:rFonts w:eastAsia="Arial"/>
        </w:rPr>
        <w:t xml:space="preserve">, сахарный диабет и артериальная гипертония) ведет к возникновению </w:t>
      </w:r>
      <w:proofErr w:type="spellStart"/>
      <w:proofErr w:type="gramStart"/>
      <w:r>
        <w:rPr>
          <w:rFonts w:eastAsia="Arial"/>
        </w:rPr>
        <w:t>сердечно-сос</w:t>
      </w:r>
      <w:r>
        <w:rPr>
          <w:rFonts w:eastAsia="Arial"/>
        </w:rPr>
        <w:t>удистых</w:t>
      </w:r>
      <w:proofErr w:type="spellEnd"/>
      <w:proofErr w:type="gramEnd"/>
      <w:r>
        <w:rPr>
          <w:rFonts w:eastAsia="Arial"/>
        </w:rPr>
        <w:t xml:space="preserve"> заболеваний, многократно усиливая риск их развития при сочетанном воздействии данных факторов. В профиле факторов риска хронических неинфекционных заболеваний курение, по данным диспансеризации сохраняет пятое место в 2019-2021 году. Пагубное потре</w:t>
      </w:r>
      <w:r>
        <w:rPr>
          <w:rFonts w:eastAsia="Arial"/>
        </w:rPr>
        <w:t>бление алкоголя отмечено у 10 процентов населения в 2021 году.</w:t>
      </w:r>
    </w:p>
    <w:p w:rsidR="00946FD4" w:rsidRDefault="00946FD4">
      <w:pPr>
        <w:pStyle w:val="a8"/>
        <w:ind w:firstLine="698"/>
        <w:rPr>
          <w:rFonts w:eastAsia="Calibri"/>
        </w:rPr>
      </w:pPr>
    </w:p>
    <w:p w:rsidR="00946FD4" w:rsidRDefault="00BA37DA">
      <w:pPr>
        <w:pStyle w:val="a8"/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Общая характеристика здравоохранения в </w:t>
      </w:r>
      <w:proofErr w:type="spellStart"/>
      <w:r>
        <w:rPr>
          <w:rFonts w:eastAsia="Calibri"/>
          <w:b/>
          <w:i/>
        </w:rPr>
        <w:t>Аргаяшском</w:t>
      </w:r>
      <w:proofErr w:type="spellEnd"/>
      <w:r>
        <w:rPr>
          <w:rFonts w:eastAsia="Calibri"/>
          <w:b/>
          <w:i/>
        </w:rPr>
        <w:t xml:space="preserve"> муниципальном районе </w:t>
      </w:r>
    </w:p>
    <w:p w:rsidR="00946FD4" w:rsidRDefault="00946FD4">
      <w:pPr>
        <w:pStyle w:val="a8"/>
        <w:rPr>
          <w:rFonts w:eastAsia="Calibri"/>
        </w:rPr>
      </w:pPr>
    </w:p>
    <w:p w:rsidR="00946FD4" w:rsidRDefault="00BA37DA">
      <w:pPr>
        <w:pStyle w:val="a8"/>
        <w:ind w:firstLine="698"/>
      </w:pPr>
      <w:r>
        <w:t xml:space="preserve">Система здравоохранения </w:t>
      </w:r>
      <w:proofErr w:type="spellStart"/>
      <w:r>
        <w:t>Аргаяшского</w:t>
      </w:r>
      <w:proofErr w:type="spellEnd"/>
      <w:r>
        <w:t xml:space="preserve"> муниципального района по состоянию на 1 января 2021 года представлена государственным бюджетным учреждением здравоохранения «Районная больница села Аргаяш» и включает следующие структурные подразделения: взрослая поликли</w:t>
      </w:r>
      <w:r>
        <w:t xml:space="preserve">ника, круглосуточный стационар (терапевтическое, неврологическое, хирургическое, педиатрическое, инфекционное и гинекологическое отделения), детская поликлиника, 10 ЦОВП, 35 ФАП и отделение скорой медицинской помощи.  </w:t>
      </w:r>
    </w:p>
    <w:p w:rsidR="00946FD4" w:rsidRDefault="00BA37DA">
      <w:pPr>
        <w:pStyle w:val="a8"/>
        <w:ind w:firstLine="698"/>
      </w:pPr>
      <w:r>
        <w:t>В Челябинской области сформирована тр</w:t>
      </w:r>
      <w:r>
        <w:t>ехуровневая система оказания медицинской помощи, в соответствии с которой отработана маршрутизация пациентов, в том числе с 2019 года с использованием санитарной авиации. ГБУЗ «Районная больница с. Аргаяш» относится к первому уровню по оказанию первичной м</w:t>
      </w:r>
      <w:r>
        <w:t>едико-санитарной помощи</w:t>
      </w:r>
    </w:p>
    <w:p w:rsidR="00946FD4" w:rsidRDefault="00BA37DA">
      <w:pPr>
        <w:pStyle w:val="a8"/>
        <w:ind w:firstLine="698"/>
      </w:pPr>
      <w:r>
        <w:t>Плановое число посещений при оказании амбулаторно-поликлинической помощи на протяжении трех лет составляет 1145. Коечный фонд ГБУЗ «Районная больница с. Аргаяш» в условиях круглосуточного стационара составляет 85  коек, в условиях д</w:t>
      </w:r>
      <w:r>
        <w:t>невных стационаров всех типов 41 койку (35 коек при поликлинике и 6 коек на дому).</w:t>
      </w:r>
    </w:p>
    <w:p w:rsidR="00946FD4" w:rsidRDefault="00BA37DA">
      <w:pPr>
        <w:pStyle w:val="a8"/>
        <w:ind w:firstLine="698"/>
      </w:pPr>
      <w:r>
        <w:rPr>
          <w:rFonts w:eastAsia="Calibri"/>
        </w:rPr>
        <w:t xml:space="preserve">Структура системы общественного здоровья в </w:t>
      </w:r>
      <w:proofErr w:type="spellStart"/>
      <w:r>
        <w:rPr>
          <w:rFonts w:eastAsia="Calibri"/>
        </w:rPr>
        <w:t>Аргаяшском</w:t>
      </w:r>
      <w:proofErr w:type="spellEnd"/>
      <w:r>
        <w:rPr>
          <w:rFonts w:eastAsia="Calibri"/>
        </w:rPr>
        <w:t xml:space="preserve"> муниципальном районе представлена отделением медицинской профилактики ГБУЗ « Районная больница с. Аргаяш». Отделение пр</w:t>
      </w:r>
      <w:r>
        <w:rPr>
          <w:rFonts w:eastAsia="Calibri"/>
        </w:rPr>
        <w:t>офилактики в своем составе имеет: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- кабинет организации диспансеризации и профилактических медицинских осмотров;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 xml:space="preserve">- кабинет </w:t>
      </w:r>
      <w:proofErr w:type="gramStart"/>
      <w:r>
        <w:rPr>
          <w:rFonts w:eastAsia="Calibri"/>
        </w:rPr>
        <w:t>диагностики и коррекции основных факторов риска развития неинфекционных заболеваний</w:t>
      </w:r>
      <w:proofErr w:type="gramEnd"/>
      <w:r>
        <w:rPr>
          <w:rFonts w:eastAsia="Calibri"/>
        </w:rPr>
        <w:t>;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- кабинет популяционных методов профилактики.</w:t>
      </w:r>
    </w:p>
    <w:p w:rsidR="00946FD4" w:rsidRDefault="00BA37DA">
      <w:pPr>
        <w:pStyle w:val="a8"/>
        <w:ind w:firstLine="698"/>
        <w:rPr>
          <w:rFonts w:eastAsia="Calibri"/>
        </w:rPr>
      </w:pPr>
      <w:r>
        <w:rPr>
          <w:rFonts w:eastAsia="Calibri"/>
        </w:rPr>
        <w:t>Кадровый состав отделения медицинской профилактики: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заведующая отделением врач медицинской профилактики: штатные - 1, физические лица – 1;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средние медицинские работники: штатные - 4, физические лица – 4.</w:t>
      </w:r>
    </w:p>
    <w:p w:rsidR="00946FD4" w:rsidRDefault="00BA37DA">
      <w:pPr>
        <w:pStyle w:val="a8"/>
        <w:ind w:firstLine="698"/>
      </w:pPr>
      <w:r>
        <w:lastRenderedPageBreak/>
        <w:t>В отделении профилактики на текущий момент организов</w:t>
      </w:r>
      <w:r>
        <w:t>аны школы основ здорового образа жизни, отказа от курения, для людей с избыточной массой тела, рационального питания, здорового питания для дошкольников и школьников, профилактики гиподинамии, профилактики легочных заболеваний и артериальной гипертония.</w:t>
      </w:r>
    </w:p>
    <w:p w:rsidR="00946FD4" w:rsidRDefault="00BA37DA">
      <w:pPr>
        <w:pStyle w:val="a8"/>
        <w:ind w:firstLine="698"/>
      </w:pPr>
      <w:r>
        <w:t xml:space="preserve">С </w:t>
      </w:r>
      <w:r>
        <w:t xml:space="preserve">целью коррекции факторов риска, для посетителей отделения профилактики, наряду с работой школ здоровья, проводятся индивидуальные беседы с использованием средств наглядной агитации и раздачей методической литературы, занятия с медицинским психотерапевтом. </w:t>
      </w:r>
    </w:p>
    <w:p w:rsidR="00946FD4" w:rsidRDefault="00BA37DA">
      <w:pPr>
        <w:pStyle w:val="a8"/>
        <w:ind w:firstLine="698"/>
      </w:pPr>
      <w:proofErr w:type="gramStart"/>
      <w:r>
        <w:t>Активно проводится работа отделения по вопросам медицинской профилактики и пропаганды здорового образа жизни среди населения района за счет использования новых технологий, методик социологических исследований, просмотра видеофильмов по здоровому образу жи</w:t>
      </w:r>
      <w:r>
        <w:t xml:space="preserve">зни, методических рекомендаций для педагогов школ и медицинских работников по организации работы и проведению мероприятий по медико-гигиеническому обучению и воспитанию населения всех возрастных групп. </w:t>
      </w:r>
      <w:proofErr w:type="gramEnd"/>
    </w:p>
    <w:p w:rsidR="00946FD4" w:rsidRDefault="00BA37DA">
      <w:pPr>
        <w:pStyle w:val="a8"/>
        <w:ind w:firstLine="698"/>
      </w:pPr>
      <w:r>
        <w:t>В 2019-2021 году ГБУЗ «ЧОЦМП» (Министерство здравоохр</w:t>
      </w:r>
      <w:r>
        <w:t xml:space="preserve">анения Челябинской области) проведены в режиме видеоконференцсвязи для населения Челябинской области, в том числе </w:t>
      </w:r>
      <w:proofErr w:type="spellStart"/>
      <w:r>
        <w:t>Аргаяшского</w:t>
      </w:r>
      <w:proofErr w:type="spellEnd"/>
      <w:r>
        <w:t xml:space="preserve"> муниципального района, школы здоровья по физической активности в золотом возрасте, сахарному диабету, первым признакам инсульта, п</w:t>
      </w:r>
      <w:r>
        <w:t>рофилактике острых респираторных вирусных инфекций и гриппа, артрозам.</w:t>
      </w:r>
    </w:p>
    <w:p w:rsidR="00946FD4" w:rsidRDefault="00BA37DA">
      <w:pPr>
        <w:pStyle w:val="a8"/>
        <w:ind w:firstLine="698"/>
      </w:pPr>
      <w:r>
        <w:t xml:space="preserve">Проводится активная профилактическая работа среди населения района по первичной профилактике </w:t>
      </w:r>
      <w:proofErr w:type="spellStart"/>
      <w:r>
        <w:t>наркозависимости</w:t>
      </w:r>
      <w:proofErr w:type="spellEnd"/>
      <w:r>
        <w:t xml:space="preserve">, алкоголизма, </w:t>
      </w:r>
      <w:proofErr w:type="spellStart"/>
      <w:r>
        <w:t>табакокурения</w:t>
      </w:r>
      <w:proofErr w:type="spellEnd"/>
      <w:r>
        <w:t xml:space="preserve"> и формированию здорового образа жизни среди нес</w:t>
      </w:r>
      <w:r>
        <w:t xml:space="preserve">овершеннолетних. По данному направлению проводятся обучающие тренинги, как с несовершеннолетними, так и с преподавателями школ и </w:t>
      </w:r>
      <w:proofErr w:type="spellStart"/>
      <w:r>
        <w:t>средне-специальных</w:t>
      </w:r>
      <w:proofErr w:type="spellEnd"/>
      <w:r>
        <w:t xml:space="preserve"> образовательных учреждений.</w:t>
      </w:r>
    </w:p>
    <w:p w:rsidR="00946FD4" w:rsidRDefault="00946FD4">
      <w:pPr>
        <w:pStyle w:val="a8"/>
        <w:ind w:firstLine="698"/>
      </w:pPr>
    </w:p>
    <w:p w:rsidR="00946FD4" w:rsidRDefault="00BA37DA">
      <w:pPr>
        <w:pStyle w:val="a8"/>
        <w:jc w:val="center"/>
        <w:rPr>
          <w:b/>
          <w:i/>
        </w:rPr>
      </w:pPr>
      <w:r>
        <w:rPr>
          <w:b/>
          <w:i/>
        </w:rPr>
        <w:t xml:space="preserve">Межведомственная работа по укреплению </w:t>
      </w:r>
      <w:proofErr w:type="gramStart"/>
      <w:r>
        <w:rPr>
          <w:b/>
          <w:i/>
        </w:rPr>
        <w:t>общественного</w:t>
      </w:r>
      <w:proofErr w:type="gramEnd"/>
    </w:p>
    <w:p w:rsidR="00946FD4" w:rsidRDefault="00BA37DA">
      <w:pPr>
        <w:pStyle w:val="a8"/>
        <w:jc w:val="center"/>
        <w:rPr>
          <w:b/>
          <w:i/>
        </w:rPr>
      </w:pPr>
      <w:r>
        <w:rPr>
          <w:b/>
          <w:i/>
        </w:rPr>
        <w:t xml:space="preserve">здоровья населения в </w:t>
      </w:r>
      <w:proofErr w:type="spellStart"/>
      <w:r>
        <w:rPr>
          <w:b/>
          <w:i/>
        </w:rPr>
        <w:t>Аргаяш</w:t>
      </w:r>
      <w:r>
        <w:rPr>
          <w:b/>
          <w:i/>
        </w:rPr>
        <w:t>ском</w:t>
      </w:r>
      <w:proofErr w:type="spellEnd"/>
      <w:r>
        <w:rPr>
          <w:b/>
          <w:i/>
        </w:rPr>
        <w:t xml:space="preserve"> муниципальном районе</w:t>
      </w:r>
    </w:p>
    <w:p w:rsidR="00946FD4" w:rsidRDefault="00BA37DA">
      <w:pPr>
        <w:pStyle w:val="a8"/>
        <w:ind w:firstLine="698"/>
        <w:rPr>
          <w:rFonts w:eastAsia="Calibri"/>
        </w:rPr>
      </w:pPr>
      <w:r>
        <w:rPr>
          <w:rFonts w:eastAsia="Calibri"/>
        </w:rPr>
        <w:t xml:space="preserve">Эффективное </w:t>
      </w:r>
      <w:proofErr w:type="spellStart"/>
      <w:r>
        <w:rPr>
          <w:rFonts w:eastAsia="Calibri"/>
        </w:rPr>
        <w:t>межсекторальное</w:t>
      </w:r>
      <w:proofErr w:type="spellEnd"/>
      <w:r>
        <w:rPr>
          <w:rFonts w:eastAsia="Calibri"/>
        </w:rPr>
        <w:t xml:space="preserve"> взаимодействие по вопросам формирования здорового образа жизни населения в </w:t>
      </w:r>
      <w:proofErr w:type="spellStart"/>
      <w:r>
        <w:rPr>
          <w:rFonts w:eastAsia="Calibri"/>
        </w:rPr>
        <w:t>Аргаяшском</w:t>
      </w:r>
      <w:proofErr w:type="spellEnd"/>
      <w:r>
        <w:rPr>
          <w:rFonts w:eastAsia="Calibri"/>
        </w:rPr>
        <w:t xml:space="preserve"> муниципальном районе осуществляется Координационным Советом по формированию здорового образа жизни, утвержденным Пос</w:t>
      </w:r>
      <w:r>
        <w:rPr>
          <w:rFonts w:eastAsia="Calibri"/>
        </w:rPr>
        <w:t xml:space="preserve">тановлением Главы </w:t>
      </w:r>
      <w:proofErr w:type="spellStart"/>
      <w:r>
        <w:rPr>
          <w:rFonts w:eastAsia="Calibri"/>
        </w:rPr>
        <w:t>Аргаяшского</w:t>
      </w:r>
      <w:proofErr w:type="spellEnd"/>
      <w:r>
        <w:rPr>
          <w:rFonts w:eastAsia="Calibri"/>
        </w:rPr>
        <w:t xml:space="preserve"> муниципального района от 27.12.2021г. №1054. </w:t>
      </w:r>
    </w:p>
    <w:p w:rsidR="00946FD4" w:rsidRDefault="00946FD4">
      <w:pPr>
        <w:pStyle w:val="a8"/>
        <w:rPr>
          <w:rFonts w:eastAsia="Calibri"/>
        </w:rPr>
      </w:pP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 xml:space="preserve">Председатель Координационного Совета - </w:t>
      </w:r>
      <w:proofErr w:type="spellStart"/>
      <w:r>
        <w:rPr>
          <w:rFonts w:eastAsia="Calibri"/>
        </w:rPr>
        <w:t>Ишимов</w:t>
      </w:r>
      <w:proofErr w:type="spellEnd"/>
      <w:r>
        <w:rPr>
          <w:rFonts w:eastAsia="Calibri"/>
        </w:rPr>
        <w:t xml:space="preserve"> Игорь Викторович, Глава </w:t>
      </w:r>
      <w:proofErr w:type="spellStart"/>
      <w:r>
        <w:rPr>
          <w:rFonts w:eastAsia="Calibri"/>
        </w:rPr>
        <w:t>Аргаяшского</w:t>
      </w:r>
      <w:proofErr w:type="spellEnd"/>
      <w:r>
        <w:rPr>
          <w:rFonts w:eastAsia="Calibri"/>
        </w:rPr>
        <w:t xml:space="preserve"> муниципального района. 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 xml:space="preserve">Заместитель председателя - Мусина Г.Н., заместитель Главы  </w:t>
      </w:r>
      <w:proofErr w:type="spellStart"/>
      <w:r>
        <w:rPr>
          <w:rFonts w:eastAsia="Calibri"/>
        </w:rPr>
        <w:t>Аргаяшского</w:t>
      </w:r>
      <w:proofErr w:type="spellEnd"/>
      <w:r>
        <w:rPr>
          <w:rFonts w:eastAsia="Calibri"/>
        </w:rPr>
        <w:t xml:space="preserve"> му</w:t>
      </w:r>
      <w:r>
        <w:rPr>
          <w:rFonts w:eastAsia="Calibri"/>
        </w:rPr>
        <w:t>ниципального района по социальной политике</w:t>
      </w:r>
    </w:p>
    <w:p w:rsidR="00946FD4" w:rsidRDefault="00946FD4">
      <w:pPr>
        <w:pStyle w:val="a8"/>
        <w:rPr>
          <w:rFonts w:eastAsia="Calibri"/>
        </w:rPr>
      </w:pP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Члены  Координационного Совета: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Попов А.В., главный врач ГБУЗ «Районная больница с</w:t>
      </w:r>
      <w:proofErr w:type="gramStart"/>
      <w:r>
        <w:rPr>
          <w:rFonts w:eastAsia="Calibri"/>
        </w:rPr>
        <w:t>.А</w:t>
      </w:r>
      <w:proofErr w:type="gramEnd"/>
      <w:r>
        <w:rPr>
          <w:rFonts w:eastAsia="Calibri"/>
        </w:rPr>
        <w:t>ргаяш»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Сафиуллин И.Т., начальник Управления образования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Хакимова Л.Т., начальник УСЗН</w:t>
      </w:r>
    </w:p>
    <w:p w:rsidR="00946FD4" w:rsidRDefault="00BA37DA">
      <w:pPr>
        <w:pStyle w:val="a8"/>
        <w:rPr>
          <w:rFonts w:eastAsia="Calibri"/>
        </w:rPr>
      </w:pPr>
      <w:proofErr w:type="spellStart"/>
      <w:r>
        <w:rPr>
          <w:rFonts w:eastAsia="Calibri"/>
        </w:rPr>
        <w:lastRenderedPageBreak/>
        <w:t>Биктимиров</w:t>
      </w:r>
      <w:proofErr w:type="spellEnd"/>
      <w:r>
        <w:rPr>
          <w:rFonts w:eastAsia="Calibri"/>
        </w:rPr>
        <w:t xml:space="preserve"> Д.Н., Руководитель комитета по </w:t>
      </w:r>
      <w:r>
        <w:rPr>
          <w:rFonts w:eastAsia="Calibri"/>
        </w:rPr>
        <w:t>физической культуре и спорту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Юсупова И.Р., Руководитель МКУ «Управление культуры, туризма  и молодёжной политики»</w:t>
      </w:r>
    </w:p>
    <w:p w:rsidR="00946FD4" w:rsidRDefault="00BA37DA">
      <w:pPr>
        <w:pStyle w:val="a8"/>
        <w:rPr>
          <w:rFonts w:eastAsia="Calibri"/>
        </w:rPr>
      </w:pPr>
      <w:proofErr w:type="spellStart"/>
      <w:r>
        <w:rPr>
          <w:rFonts w:eastAsia="Calibri"/>
        </w:rPr>
        <w:t>Хибатуллина</w:t>
      </w:r>
      <w:proofErr w:type="spellEnd"/>
      <w:r>
        <w:rPr>
          <w:rFonts w:eastAsia="Calibri"/>
        </w:rPr>
        <w:t xml:space="preserve"> Р.Б. – главный редактор районной газеты «Восход»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Кондратьева С.П.-  председатель районного Совета ветеранов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 xml:space="preserve">Секретарь Совета – </w:t>
      </w:r>
      <w:proofErr w:type="spellStart"/>
      <w:r>
        <w:rPr>
          <w:rFonts w:eastAsia="Calibri"/>
        </w:rPr>
        <w:t>Баю</w:t>
      </w:r>
      <w:r>
        <w:rPr>
          <w:rFonts w:eastAsia="Calibri"/>
        </w:rPr>
        <w:t>ра</w:t>
      </w:r>
      <w:proofErr w:type="spellEnd"/>
      <w:r>
        <w:rPr>
          <w:rFonts w:eastAsia="Calibri"/>
        </w:rPr>
        <w:t xml:space="preserve"> В.В., фельдшер ГБУЗ «Районная больница с</w:t>
      </w:r>
      <w:proofErr w:type="gramStart"/>
      <w:r>
        <w:rPr>
          <w:rFonts w:eastAsia="Calibri"/>
        </w:rPr>
        <w:t>.А</w:t>
      </w:r>
      <w:proofErr w:type="gramEnd"/>
      <w:r>
        <w:rPr>
          <w:rFonts w:eastAsia="Calibri"/>
        </w:rPr>
        <w:t>ргаяш»</w:t>
      </w:r>
    </w:p>
    <w:p w:rsidR="00946FD4" w:rsidRDefault="00BA37DA">
      <w:pPr>
        <w:pStyle w:val="a8"/>
        <w:jc w:val="center"/>
        <w:rPr>
          <w:rFonts w:eastAsia="Calibri"/>
          <w:i/>
        </w:rPr>
      </w:pPr>
      <w:r>
        <w:rPr>
          <w:rFonts w:eastAsia="Calibri"/>
          <w:b/>
          <w:i/>
        </w:rPr>
        <w:t>Перспективы развития службы медицинской профилактики</w:t>
      </w:r>
      <w:r>
        <w:rPr>
          <w:rFonts w:eastAsia="Calibri"/>
          <w:i/>
        </w:rPr>
        <w:t>.</w:t>
      </w:r>
    </w:p>
    <w:p w:rsidR="00946FD4" w:rsidRDefault="00946FD4">
      <w:pPr>
        <w:pStyle w:val="a8"/>
        <w:rPr>
          <w:rFonts w:eastAsia="Calibri"/>
          <w:bCs/>
          <w:i/>
        </w:rPr>
      </w:pPr>
    </w:p>
    <w:p w:rsidR="00946FD4" w:rsidRDefault="00BA37DA">
      <w:pPr>
        <w:pStyle w:val="a8"/>
        <w:ind w:firstLine="698"/>
        <w:rPr>
          <w:rFonts w:eastAsia="Calibri"/>
        </w:rPr>
      </w:pPr>
      <w:r>
        <w:rPr>
          <w:rFonts w:eastAsia="Calibri"/>
        </w:rPr>
        <w:t>Первоочередными задачами по развитию службы медицинской профилактики являются:</w:t>
      </w:r>
    </w:p>
    <w:p w:rsidR="00946FD4" w:rsidRDefault="00BA37DA">
      <w:pPr>
        <w:pStyle w:val="a8"/>
        <w:rPr>
          <w:rFonts w:eastAsia="Calibri"/>
          <w:bCs/>
        </w:rPr>
      </w:pPr>
      <w:r>
        <w:rPr>
          <w:rFonts w:eastAsia="Calibri"/>
          <w:bCs/>
        </w:rPr>
        <w:t>- привлечение гражданского сообщества к участию в реализации мероприят</w:t>
      </w:r>
      <w:r>
        <w:rPr>
          <w:rFonts w:eastAsia="Calibri"/>
          <w:bCs/>
        </w:rPr>
        <w:t>ий региональной и муниципальных программ укрепления общественного здоровья;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  <w:bCs/>
        </w:rPr>
        <w:t xml:space="preserve">- совершенствование работы по взаимодействию с волонтерскими и социально ориентированными некоммерческими организациями, направленной на </w:t>
      </w:r>
      <w:r>
        <w:rPr>
          <w:rFonts w:eastAsia="Calibri"/>
        </w:rPr>
        <w:t>улучшение здоровья и качества жизни населен</w:t>
      </w:r>
      <w:r>
        <w:rPr>
          <w:rFonts w:eastAsia="Calibri"/>
        </w:rPr>
        <w:t>ия, формирование культуры общественного здоровья, ответственного отношения к здоровью;</w:t>
      </w:r>
    </w:p>
    <w:p w:rsidR="00946FD4" w:rsidRDefault="00BA37DA">
      <w:pPr>
        <w:pStyle w:val="a8"/>
        <w:rPr>
          <w:szCs w:val="26"/>
        </w:rPr>
      </w:pPr>
      <w:r>
        <w:rPr>
          <w:szCs w:val="26"/>
        </w:rPr>
        <w:t xml:space="preserve">- обеспечение эффективного </w:t>
      </w:r>
      <w:proofErr w:type="spellStart"/>
      <w:r>
        <w:rPr>
          <w:szCs w:val="26"/>
        </w:rPr>
        <w:t>межсекторального</w:t>
      </w:r>
      <w:proofErr w:type="spellEnd"/>
      <w:r>
        <w:rPr>
          <w:szCs w:val="26"/>
        </w:rPr>
        <w:t xml:space="preserve"> взаимодействия в вопросах формирования здорового образа жизни населения в рамках деятельности  областного и муниципальных Коо</w:t>
      </w:r>
      <w:r>
        <w:rPr>
          <w:szCs w:val="26"/>
        </w:rPr>
        <w:t>рдинационных Советов по формированию здорового образа жизни.</w:t>
      </w:r>
    </w:p>
    <w:p w:rsidR="00946FD4" w:rsidRDefault="00946FD4">
      <w:pPr>
        <w:pStyle w:val="a8"/>
        <w:rPr>
          <w:szCs w:val="26"/>
        </w:rPr>
      </w:pPr>
    </w:p>
    <w:p w:rsidR="00946FD4" w:rsidRDefault="00BA37DA">
      <w:pPr>
        <w:pStyle w:val="a8"/>
        <w:jc w:val="center"/>
        <w:rPr>
          <w:b/>
        </w:rPr>
      </w:pPr>
      <w:r>
        <w:rPr>
          <w:b/>
        </w:rPr>
        <w:t>Раздел 3. Перечень мероприятий муниципальной программы</w:t>
      </w:r>
    </w:p>
    <w:p w:rsidR="00946FD4" w:rsidRDefault="00946FD4">
      <w:pPr>
        <w:pStyle w:val="a8"/>
      </w:pPr>
    </w:p>
    <w:p w:rsidR="00946FD4" w:rsidRDefault="00BA37DA">
      <w:pPr>
        <w:pStyle w:val="a8"/>
        <w:ind w:firstLine="698"/>
      </w:pPr>
      <w:r>
        <w:t xml:space="preserve">Администрация </w:t>
      </w:r>
      <w:proofErr w:type="spellStart"/>
      <w:r>
        <w:t>Аргаяшского</w:t>
      </w:r>
      <w:proofErr w:type="spellEnd"/>
      <w:r>
        <w:t xml:space="preserve"> муниципального района: осуществляет текущее управление реализацией Программы; осуществляет контроль исполнения м</w:t>
      </w:r>
      <w:r>
        <w:t xml:space="preserve">ероприятий Программы; осуществляет мониторинг реализации мероприятий Программы. </w:t>
      </w:r>
    </w:p>
    <w:p w:rsidR="00946FD4" w:rsidRDefault="00BA37DA">
      <w:pPr>
        <w:pStyle w:val="a8"/>
        <w:ind w:firstLine="698"/>
      </w:pPr>
      <w:r>
        <w:t xml:space="preserve">Исполнители Программы участвуют в реализации программных мероприятий и несут ответственность за выполнение программных мероприятий и достижение индикативных показателей Программы. </w:t>
      </w:r>
    </w:p>
    <w:p w:rsidR="00946FD4" w:rsidRDefault="00BA37DA">
      <w:pPr>
        <w:pStyle w:val="a8"/>
        <w:ind w:firstLine="698"/>
      </w:pPr>
      <w:r>
        <w:t xml:space="preserve">Срок реализации мероприятий Программы: 2023-2025годы. </w:t>
      </w:r>
    </w:p>
    <w:p w:rsidR="00946FD4" w:rsidRDefault="00BA37DA">
      <w:pPr>
        <w:pStyle w:val="a8"/>
        <w:ind w:firstLine="698"/>
      </w:pPr>
      <w:r>
        <w:t>Основные направления</w:t>
      </w:r>
      <w:r>
        <w:t xml:space="preserve"> и мероприятия муниципальной программы, ответственные за их исполнение, сроки исполнения представлены в </w:t>
      </w:r>
      <w:r>
        <w:rPr>
          <w:b/>
          <w:i/>
        </w:rPr>
        <w:t>приложении 1</w:t>
      </w:r>
      <w:r>
        <w:t xml:space="preserve"> к муниципальной программе. </w:t>
      </w:r>
    </w:p>
    <w:p w:rsidR="00946FD4" w:rsidRDefault="00946FD4">
      <w:pPr>
        <w:pStyle w:val="a8"/>
        <w:ind w:firstLine="698"/>
      </w:pPr>
    </w:p>
    <w:p w:rsidR="00946FD4" w:rsidRDefault="00BA37DA">
      <w:pPr>
        <w:pStyle w:val="a8"/>
        <w:jc w:val="center"/>
        <w:rPr>
          <w:b/>
        </w:rPr>
      </w:pPr>
      <w:r>
        <w:rPr>
          <w:b/>
        </w:rPr>
        <w:t>Раздел 4. Организация управления и механизм выполнения мероприятий муниципальной программы</w:t>
      </w:r>
    </w:p>
    <w:p w:rsidR="00946FD4" w:rsidRDefault="00946FD4">
      <w:pPr>
        <w:pStyle w:val="a8"/>
      </w:pPr>
    </w:p>
    <w:p w:rsidR="00946FD4" w:rsidRDefault="00BA37DA">
      <w:pPr>
        <w:pStyle w:val="a8"/>
        <w:ind w:firstLine="0"/>
      </w:pPr>
      <w:r>
        <w:t>В процессе реализа</w:t>
      </w:r>
      <w:r>
        <w:t xml:space="preserve">ции муниципальной программы необходимо формирование системы непрерывного образования граждан и медицинских специалистов по проблемам ЗОЖ, в том числе здорового питания. Особое значение в настоящее время имеет формирование ЗОЖ у детей, подростков, молодежи </w:t>
      </w:r>
      <w:r>
        <w:t xml:space="preserve">и студентов, что обусловлено большой распространенностью среди них курения, а также высокой частотой выявления нерационального питания, избыточной массы </w:t>
      </w:r>
      <w:r>
        <w:lastRenderedPageBreak/>
        <w:t>тела и ожирения, низкой физической активности. Отдельного внимания заслуживают проблемы наркомании и ал</w:t>
      </w:r>
      <w:r>
        <w:t xml:space="preserve">коголизма.  </w:t>
      </w:r>
    </w:p>
    <w:p w:rsidR="00946FD4" w:rsidRDefault="00BA37DA">
      <w:pPr>
        <w:pStyle w:val="a8"/>
      </w:pPr>
      <w:proofErr w:type="gramStart"/>
      <w:r>
        <w:t>Процесс повышения мотивации населения, в том числе детей и подростков, к ведению ЗОЖ предполагает межведомственное многоуровневое взаимодействие с привлечением к реализации программы районных учреждений, общественных организаций, участвующих в</w:t>
      </w:r>
      <w:r>
        <w:t xml:space="preserve"> информировании населения о факторах риска неинфекционных заболеваний и зависимостей, создании системы мотивации к ведению ЗОЖ и обеспечении для этого соответствующих условий, а также осуществлении контроля за всеми этими процессами через проведение монито</w:t>
      </w:r>
      <w:r>
        <w:t xml:space="preserve">ринга.  </w:t>
      </w:r>
      <w:proofErr w:type="gramEnd"/>
    </w:p>
    <w:p w:rsidR="00946FD4" w:rsidRDefault="00BA37DA">
      <w:pPr>
        <w:pStyle w:val="a8"/>
      </w:pPr>
      <w:r>
        <w:t xml:space="preserve">Профилактические мероприятия должны стать ключевыми в борьбе с </w:t>
      </w:r>
      <w:proofErr w:type="spellStart"/>
      <w:proofErr w:type="gramStart"/>
      <w:r>
        <w:t>сердечно-сосудистыми</w:t>
      </w:r>
      <w:proofErr w:type="spellEnd"/>
      <w:proofErr w:type="gramEnd"/>
      <w:r>
        <w:t xml:space="preserve"> и онкологическими заболеваниями, прежде всего среди граждан трудоспособного возраста. Один из важнейших ресурсов – проведение информационных кампаний волонтерское </w:t>
      </w:r>
      <w:r>
        <w:t xml:space="preserve">движение.  Участвуя в профилактических мероприятиях, волонтеры проходят дополнительное обучение, получают новые знания и навыки, а также опыт для дальнейшей профессиональной деятельности и карьерного роста. </w:t>
      </w:r>
    </w:p>
    <w:p w:rsidR="00946FD4" w:rsidRDefault="00BA37DA">
      <w:pPr>
        <w:pStyle w:val="a8"/>
      </w:pPr>
      <w:r>
        <w:t>В 2021-2024 годах планируется на постоянной осно</w:t>
      </w:r>
      <w:r>
        <w:t>ве обучение волонтеров для проведения профилактической работы с населением по следующим направлениям: формирование здорового образа жизни, распознавание первых признаков неотложных состояний и оказание первой помощи при возникновении этих состояний, раннее</w:t>
      </w:r>
      <w:r>
        <w:t xml:space="preserve"> выявление онкологических заболеваний.          </w:t>
      </w:r>
      <w:proofErr w:type="gramStart"/>
      <w:r>
        <w:t>Для координации и совершенствования совместной работы волонтеров с населением и организациями, находящимися на территории района, направленной на улучшение здоровья и качества жизни населения, формирование ку</w:t>
      </w:r>
      <w:r>
        <w:t xml:space="preserve">льтуры общественного здоровья, ответственного отношения к здоровью создан муниципальный координационных совет по формированию здорового образа жизни. </w:t>
      </w:r>
      <w:proofErr w:type="gramEnd"/>
    </w:p>
    <w:p w:rsidR="00946FD4" w:rsidRDefault="00BA37DA">
      <w:pPr>
        <w:pStyle w:val="a8"/>
      </w:pPr>
      <w:r>
        <w:t xml:space="preserve">Для достижения плановых показателей, количественных и качественных целевых индикаторов, и показателей </w:t>
      </w:r>
      <w:r>
        <w:t>муниципальной программы необходимо поэтапно выполнять намеченные мероприятия настоящей муниципальной программы с 2023 по 2025 гг., в 3 этапа: 1 этап – 2023 год, 2 этап – 2024 год, 3 этап – 2025 год.</w:t>
      </w:r>
    </w:p>
    <w:p w:rsidR="00946FD4" w:rsidRDefault="00BA37DA">
      <w:pPr>
        <w:pStyle w:val="a8"/>
        <w:ind w:firstLine="698"/>
      </w:pPr>
      <w:r>
        <w:t>Исполнители муниципальной программы являются ответственны</w:t>
      </w:r>
      <w:r>
        <w:t>ми за выполнение программных мероприятий и рациональное использование финансовых средств, выделенных на реализацию муниципальной программы. Исполнители муниципальной программы могут создавать межведомственные группы, работу которых они организуют и контрол</w:t>
      </w:r>
      <w:r>
        <w:t xml:space="preserve">ируют. Финансирование программных мероприятий осуществляется в пределах расходов бюджета района, выделяемых на реализацию муниципальной программы.  </w:t>
      </w:r>
    </w:p>
    <w:p w:rsidR="00946FD4" w:rsidRDefault="00BA37DA">
      <w:pPr>
        <w:pStyle w:val="a8"/>
        <w:ind w:firstLine="698"/>
      </w:pPr>
      <w:r>
        <w:t xml:space="preserve">Ответственный исполнитель муниципальной программы района:  </w:t>
      </w:r>
    </w:p>
    <w:p w:rsidR="00946FD4" w:rsidRDefault="00BA37DA">
      <w:pPr>
        <w:pStyle w:val="a8"/>
      </w:pPr>
      <w:r>
        <w:t>- координирует деятельность соисполнителей по р</w:t>
      </w:r>
      <w:r>
        <w:t xml:space="preserve">еализации программных мероприятий; </w:t>
      </w:r>
    </w:p>
    <w:p w:rsidR="00946FD4" w:rsidRDefault="00BA37DA">
      <w:pPr>
        <w:pStyle w:val="a8"/>
      </w:pPr>
      <w:r>
        <w:t xml:space="preserve">- несет ответственность за своевременность, полноту и качество предоставленной информации; </w:t>
      </w:r>
    </w:p>
    <w:p w:rsidR="00946FD4" w:rsidRDefault="00BA37DA">
      <w:pPr>
        <w:pStyle w:val="a8"/>
      </w:pPr>
      <w:r>
        <w:lastRenderedPageBreak/>
        <w:t xml:space="preserve">- готовит, уточняет перечень программных мероприятий, уточняет затраты и механизм реализации целевой муниципальной программы на </w:t>
      </w:r>
      <w:r>
        <w:t xml:space="preserve">очередной финансовый год и плановый период; </w:t>
      </w:r>
    </w:p>
    <w:p w:rsidR="00946FD4" w:rsidRDefault="00BA37DA">
      <w:pPr>
        <w:pStyle w:val="a8"/>
        <w:ind w:firstLine="698"/>
      </w:pPr>
      <w:r>
        <w:t>Исполнители муниципальной программы</w:t>
      </w:r>
    </w:p>
    <w:p w:rsidR="00946FD4" w:rsidRDefault="00BA37DA">
      <w:pPr>
        <w:pStyle w:val="a8"/>
      </w:pPr>
      <w:r>
        <w:t xml:space="preserve">- участвуют в разработке, осуществляют реализацию мероприятий, по которым они являются исполнителями; </w:t>
      </w:r>
    </w:p>
    <w:p w:rsidR="00946FD4" w:rsidRDefault="00BA37DA">
      <w:pPr>
        <w:pStyle w:val="a8"/>
      </w:pPr>
      <w:r>
        <w:t>- по истечении срока действия муниципальной программы разработчик програ</w:t>
      </w:r>
      <w:r>
        <w:t xml:space="preserve">ммы вносит в установленном порядке предложения о необходимости разработки новой муниципальной программы в </w:t>
      </w:r>
      <w:proofErr w:type="spellStart"/>
      <w:r>
        <w:t>Аргаяшском</w:t>
      </w:r>
      <w:proofErr w:type="spellEnd"/>
      <w:r>
        <w:t xml:space="preserve"> районе. </w:t>
      </w:r>
    </w:p>
    <w:p w:rsidR="00946FD4" w:rsidRDefault="00BA37DA">
      <w:pPr>
        <w:pStyle w:val="a8"/>
        <w:ind w:firstLine="698"/>
        <w:rPr>
          <w:bCs/>
        </w:rPr>
      </w:pPr>
      <w:r>
        <w:t xml:space="preserve">Оценка эффективности выполнения муниципальной программы осуществляется в соответствии с постановлением администрации </w:t>
      </w:r>
      <w:proofErr w:type="spellStart"/>
      <w:r>
        <w:t>Аргаяшского</w:t>
      </w:r>
      <w:proofErr w:type="spellEnd"/>
      <w:r>
        <w:t xml:space="preserve"> м</w:t>
      </w:r>
      <w:r>
        <w:t xml:space="preserve">униципального района от </w:t>
      </w:r>
      <w:r>
        <w:t>02.10.2013 года №1748</w:t>
      </w:r>
      <w:proofErr w:type="gramStart"/>
      <w:r>
        <w:t xml:space="preserve"> </w:t>
      </w:r>
      <w:r>
        <w:rPr>
          <w:bCs/>
        </w:rPr>
        <w:t>О</w:t>
      </w:r>
      <w:proofErr w:type="gramEnd"/>
      <w:r>
        <w:rPr>
          <w:bCs/>
        </w:rPr>
        <w:t xml:space="preserve">б утверждении Порядка разработки, реализации и оценки эффективности муниципальных программ </w:t>
      </w:r>
      <w:proofErr w:type="spellStart"/>
      <w:r>
        <w:rPr>
          <w:bCs/>
        </w:rPr>
        <w:t>Аргаяшского</w:t>
      </w:r>
      <w:proofErr w:type="spellEnd"/>
      <w:r>
        <w:rPr>
          <w:bCs/>
        </w:rPr>
        <w:t xml:space="preserve"> </w:t>
      </w:r>
      <w:r>
        <w:t>муниципального района.</w:t>
      </w:r>
    </w:p>
    <w:p w:rsidR="00946FD4" w:rsidRDefault="00BA37DA">
      <w:pPr>
        <w:pStyle w:val="a8"/>
        <w:ind w:firstLine="698"/>
      </w:pPr>
      <w:r>
        <w:t>Публичность обеспечивается посредством размещения ответственным исполнителем информ</w:t>
      </w:r>
      <w:r>
        <w:t xml:space="preserve">ации о ходе реализации муниципальной программы в сети интернет на официальном сайте администрации </w:t>
      </w:r>
      <w:proofErr w:type="spellStart"/>
      <w:r>
        <w:t>Аргаяшского</w:t>
      </w:r>
      <w:proofErr w:type="spellEnd"/>
      <w:r>
        <w:t xml:space="preserve"> муниципального района </w:t>
      </w:r>
      <w:proofErr w:type="gramStart"/>
      <w:r>
        <w:t xml:space="preserve">( </w:t>
      </w:r>
      <w:proofErr w:type="gramEnd"/>
      <w:r>
        <w:t xml:space="preserve">https://argayash.ru/) </w:t>
      </w:r>
    </w:p>
    <w:p w:rsidR="00946FD4" w:rsidRDefault="00946FD4">
      <w:pPr>
        <w:pStyle w:val="a8"/>
        <w:jc w:val="center"/>
      </w:pPr>
    </w:p>
    <w:p w:rsidR="00946FD4" w:rsidRDefault="00BA37DA">
      <w:pPr>
        <w:pStyle w:val="a8"/>
        <w:jc w:val="center"/>
        <w:rPr>
          <w:b/>
        </w:rPr>
      </w:pPr>
      <w:r>
        <w:rPr>
          <w:b/>
        </w:rPr>
        <w:t>Раздел 5. Ожидаемые результаты реализации муниципальной программы и их обоснование</w:t>
      </w:r>
    </w:p>
    <w:p w:rsidR="00946FD4" w:rsidRDefault="00946FD4">
      <w:pPr>
        <w:pStyle w:val="a8"/>
      </w:pPr>
    </w:p>
    <w:p w:rsidR="00946FD4" w:rsidRDefault="00BA37DA">
      <w:pPr>
        <w:pStyle w:val="a8"/>
        <w:ind w:firstLine="698"/>
      </w:pPr>
      <w:proofErr w:type="gramStart"/>
      <w:r>
        <w:t>Основными пока</w:t>
      </w:r>
      <w:r>
        <w:t>зателями, оценивающими эффективность Программы, являются: показатели общей смертности населения трудоспособного возраста, смертности от хронических неинфекционных заболеваний граждан в трудоспособном возрасте: болезней системы кровообращения, злокачественн</w:t>
      </w:r>
      <w:r>
        <w:t>ых заболеваний, болезней органов дыхания, цереброваскулярных болезней; распространенность факторов риска по итогам диспансеризации определенных групп взрослого населения (низкая физическая активность, нерациональное питание, избыточная масса тела, артериал</w:t>
      </w:r>
      <w:r>
        <w:t>ьная гипертензия, гипергликемия, курение, злоупотребление алкоголем);</w:t>
      </w:r>
      <w:proofErr w:type="gramEnd"/>
      <w:r>
        <w:t xml:space="preserve"> информированность населения по вопросам профилактики хронических неинфекционных заболеваний и формированию здорового образа жизни (данные социологического исследования по информированнос</w:t>
      </w:r>
      <w:r>
        <w:t xml:space="preserve">ти о диспансеризации, показатели частоты запущенных случаев злокачественных новообразований и поздней обращаемости при острых сосудистых состояниях в </w:t>
      </w:r>
      <w:proofErr w:type="spellStart"/>
      <w:r>
        <w:t>Аргаяшском</w:t>
      </w:r>
      <w:proofErr w:type="spellEnd"/>
      <w:r>
        <w:t xml:space="preserve"> муниципальном районе Челябинской области). </w:t>
      </w:r>
    </w:p>
    <w:p w:rsidR="00946FD4" w:rsidRDefault="00BA37DA">
      <w:pPr>
        <w:pStyle w:val="a8"/>
        <w:ind w:firstLine="698"/>
      </w:pPr>
      <w:r>
        <w:t xml:space="preserve">Реализация муниципальной программы на территории </w:t>
      </w:r>
      <w:proofErr w:type="spellStart"/>
      <w:r>
        <w:t>Ар</w:t>
      </w:r>
      <w:r>
        <w:t>гаяшского</w:t>
      </w:r>
      <w:proofErr w:type="spellEnd"/>
      <w:r>
        <w:t xml:space="preserve"> муниципального района позволит добиться следующих результатов: </w:t>
      </w:r>
    </w:p>
    <w:p w:rsidR="00946FD4" w:rsidRDefault="00BA37DA">
      <w:pPr>
        <w:pStyle w:val="a8"/>
        <w:ind w:firstLine="698"/>
      </w:pPr>
      <w:r>
        <w:t>-  Доля граждан в возрасте 3-79 лет, систематически занимающихся физической культурой и спортом в общей численности граждан в возрасте 3-79 лет, составит 53%;</w:t>
      </w:r>
    </w:p>
    <w:p w:rsidR="00946FD4" w:rsidRDefault="00BA37DA">
      <w:pPr>
        <w:pStyle w:val="a8"/>
        <w:ind w:firstLine="698"/>
      </w:pPr>
      <w:r>
        <w:t xml:space="preserve">- Увеличение </w:t>
      </w:r>
      <w:r>
        <w:tab/>
        <w:t xml:space="preserve">доли </w:t>
      </w:r>
      <w:r>
        <w:tab/>
        <w:t>гра</w:t>
      </w:r>
      <w:r>
        <w:t xml:space="preserve">ждан, </w:t>
      </w:r>
      <w:r>
        <w:tab/>
        <w:t xml:space="preserve">охваченных </w:t>
      </w:r>
      <w:proofErr w:type="gramStart"/>
      <w:r>
        <w:t>профилактическими</w:t>
      </w:r>
      <w:proofErr w:type="gramEnd"/>
      <w:r>
        <w:t xml:space="preserve"> мероприятий, направленными </w:t>
      </w:r>
      <w:r>
        <w:tab/>
        <w:t>на укрепление общественного здоровья, профилактику неинфекционных заболеваний, составит 60%;</w:t>
      </w:r>
    </w:p>
    <w:p w:rsidR="00946FD4" w:rsidRDefault="00BA37DA">
      <w:pPr>
        <w:pStyle w:val="a8"/>
        <w:ind w:firstLine="698"/>
      </w:pPr>
      <w:r>
        <w:lastRenderedPageBreak/>
        <w:t>- Количество публикаций в СМИ и информационно-телекоммуникационная сеть «Интернет», направленных на</w:t>
      </w:r>
      <w:r>
        <w:t xml:space="preserve"> формирование системы мотивации граждан к ЗОЖ, включая здоровое питание и отказ от вредных привычек, составит 250 публикаций;</w:t>
      </w:r>
    </w:p>
    <w:p w:rsidR="00946FD4" w:rsidRDefault="00BA37DA">
      <w:pPr>
        <w:pStyle w:val="a8"/>
        <w:ind w:firstLine="698"/>
      </w:pPr>
      <w:r>
        <w:t>- Темпы прироста первичной заболеваемости ожирением составит 8%.</w:t>
      </w:r>
    </w:p>
    <w:p w:rsidR="00946FD4" w:rsidRDefault="00946FD4">
      <w:pPr>
        <w:pStyle w:val="a8"/>
        <w:ind w:firstLine="0"/>
      </w:pPr>
    </w:p>
    <w:p w:rsidR="00946FD4" w:rsidRDefault="00BA37DA">
      <w:pPr>
        <w:pStyle w:val="a8"/>
        <w:ind w:firstLine="0"/>
      </w:pPr>
      <w:r>
        <w:t>Муниципальная программа направлена на достижение цели национальн</w:t>
      </w:r>
      <w:r>
        <w:t xml:space="preserve">ого проекта «Демография»: </w:t>
      </w:r>
    </w:p>
    <w:p w:rsidR="00946FD4" w:rsidRDefault="00BA37DA">
      <w:pPr>
        <w:pStyle w:val="a8"/>
      </w:pPr>
      <w:r>
        <w:t>-</w:t>
      </w:r>
      <w:r>
        <w:tab/>
        <w:t xml:space="preserve">увеличение обращаемости в медицинские организации по вопросам здорового образа жизни, в том числе увеличение числа лиц, которым рекомендованы индивидуальные планы по здоровому образу жизни; </w:t>
      </w:r>
    </w:p>
    <w:p w:rsidR="00946FD4" w:rsidRDefault="00BA37DA">
      <w:pPr>
        <w:pStyle w:val="a8"/>
      </w:pPr>
      <w:r>
        <w:t>-</w:t>
      </w:r>
      <w:r>
        <w:tab/>
        <w:t>на достижение национальной цели по</w:t>
      </w:r>
      <w:r>
        <w:t xml:space="preserve"> росту ожидаемой продолжительности жизни до 78 лет к 2025</w:t>
      </w:r>
      <w:bookmarkStart w:id="0" w:name="_GoBack"/>
      <w:bookmarkEnd w:id="0"/>
      <w:r>
        <w:t xml:space="preserve"> году.  </w:t>
      </w:r>
    </w:p>
    <w:p w:rsidR="00946FD4" w:rsidRDefault="00BA37DA">
      <w:pPr>
        <w:pStyle w:val="a8"/>
      </w:pPr>
      <w:r>
        <w:t>Кроме того, мероприятия, связанные с формированием здоровья на производстве, которые в долгосрочной перспективе приведут к снижению случаев временной нетрудоспособности, дадут свой вклад в с</w:t>
      </w:r>
      <w:r>
        <w:t xml:space="preserve">нижение бедности населения и повышения их доходов. </w:t>
      </w:r>
    </w:p>
    <w:p w:rsidR="00946FD4" w:rsidRDefault="00BA37DA">
      <w:pPr>
        <w:pStyle w:val="a8"/>
      </w:pPr>
      <w:r>
        <w:t xml:space="preserve">Более того, мероприятия, запланированные в рамках данной муниципальной программы должны оказать влияние на такие показатели национального проекта «Демография», как: </w:t>
      </w:r>
    </w:p>
    <w:p w:rsidR="00946FD4" w:rsidRDefault="00BA37DA">
      <w:pPr>
        <w:pStyle w:val="a8"/>
      </w:pPr>
      <w:r>
        <w:t>-</w:t>
      </w:r>
      <w:r>
        <w:tab/>
        <w:t>доля граждан, систематически занимаю</w:t>
      </w:r>
      <w:r>
        <w:t xml:space="preserve">щихся физической культурой и спортом. </w:t>
      </w:r>
    </w:p>
    <w:p w:rsidR="00946FD4" w:rsidRDefault="00BA37DA">
      <w:pPr>
        <w:pStyle w:val="a8"/>
      </w:pPr>
      <w:r>
        <w:t xml:space="preserve">Реализация муниципальной программы общественного здоровья вместе с внедрением корпоративных программ позволит: </w:t>
      </w:r>
    </w:p>
    <w:p w:rsidR="00946FD4" w:rsidRDefault="00BA37DA">
      <w:pPr>
        <w:pStyle w:val="a8"/>
      </w:pPr>
      <w:r>
        <w:t>-</w:t>
      </w:r>
      <w:r>
        <w:tab/>
      </w:r>
      <w:r>
        <w:t>максимально охватить целевую аудиторию трудоспособной части населения, повысив осведомленность граждан о принципах здорового образа жизни, повысит информированность населения в вопросах профилактики хронических неинфекционных заболеваний и формирования здо</w:t>
      </w:r>
      <w:r>
        <w:t xml:space="preserve">рового образа жизни; </w:t>
      </w:r>
    </w:p>
    <w:p w:rsidR="00946FD4" w:rsidRDefault="00BA37DA">
      <w:pPr>
        <w:pStyle w:val="a8"/>
      </w:pPr>
      <w:r>
        <w:t>-</w:t>
      </w:r>
      <w:r>
        <w:tab/>
        <w:t xml:space="preserve">увеличить долю населения, охваченного </w:t>
      </w:r>
      <w:proofErr w:type="gramStart"/>
      <w:r>
        <w:t>профилактическими</w:t>
      </w:r>
      <w:proofErr w:type="gramEnd"/>
      <w:r>
        <w:t xml:space="preserve"> мероприятий, направленными на укрепление общественного здоровья, профилактику неинфекционных заболеваний.; </w:t>
      </w:r>
    </w:p>
    <w:p w:rsidR="00946FD4" w:rsidRDefault="00BA37DA">
      <w:pPr>
        <w:pStyle w:val="a8"/>
        <w:ind w:firstLine="698"/>
      </w:pPr>
      <w:r>
        <w:t>Увеличение доли лиц, приверженных здоровому образу жизни, приведет к</w:t>
      </w:r>
      <w:r>
        <w:t xml:space="preserve"> снижению заболеваемости и смертности от основных хронических и неинфекционных заболеваний (ХНИЗ) (</w:t>
      </w:r>
      <w:proofErr w:type="spellStart"/>
      <w:proofErr w:type="gramStart"/>
      <w:r>
        <w:t>сердечно-сосудистых</w:t>
      </w:r>
      <w:proofErr w:type="spellEnd"/>
      <w:proofErr w:type="gramEnd"/>
      <w:r>
        <w:t xml:space="preserve">, онкологических) и внешних причин (например, связанных с потреблением алкоголя) в трудоспособном возрасте. </w:t>
      </w:r>
    </w:p>
    <w:p w:rsidR="00946FD4" w:rsidRDefault="00BA37DA">
      <w:pPr>
        <w:pStyle w:val="a8"/>
        <w:ind w:firstLine="698"/>
      </w:pPr>
      <w:r>
        <w:t>Реализация мероприятий муници</w:t>
      </w:r>
      <w:r>
        <w:t xml:space="preserve">пальной программы будет направлена на достижение результатов, оцениваемых по целевым показателям (индикаторам), указанным в приложении 2 к муниципальной программе. </w:t>
      </w:r>
    </w:p>
    <w:p w:rsidR="00946FD4" w:rsidRDefault="00BA37DA">
      <w:pPr>
        <w:pStyle w:val="a8"/>
      </w:pPr>
      <w:r>
        <w:t>Обоснование состава и значений целевых показателей (индикаторов) муниципальной программы, м</w:t>
      </w:r>
      <w:r>
        <w:t xml:space="preserve">етодика их расчета, источники получения информации и оценка влияния внешних факторов и условий на их достижение представлены в приложении3 к муниципальной программе. </w:t>
      </w:r>
    </w:p>
    <w:p w:rsidR="00946FD4" w:rsidRDefault="00BA37DA">
      <w:pPr>
        <w:pStyle w:val="a8"/>
        <w:ind w:firstLine="698"/>
      </w:pPr>
      <w:r>
        <w:t>Социальная эффективность Программы заключается в улучшении здоровья и качества жизни насе</w:t>
      </w:r>
      <w:r>
        <w:t xml:space="preserve">ления, формировании культуры общественного </w:t>
      </w:r>
      <w:r>
        <w:lastRenderedPageBreak/>
        <w:t xml:space="preserve">здоровья, ответственного отношения к здоровью. При реализации Программы необходимо учитывать возможные экономические и социальные риски. </w:t>
      </w:r>
    </w:p>
    <w:p w:rsidR="00946FD4" w:rsidRDefault="00BA37DA">
      <w:pPr>
        <w:pStyle w:val="a8"/>
      </w:pPr>
      <w:r>
        <w:t>Основным риском невыполнения целевых показателей Программы является недоста</w:t>
      </w:r>
      <w:r>
        <w:t>точное финансирование или его отсутствие. 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в реализации приоритетных направлений Про</w:t>
      </w:r>
      <w:r>
        <w:t xml:space="preserve">граммы. </w:t>
      </w:r>
    </w:p>
    <w:p w:rsidR="00946FD4" w:rsidRDefault="00946FD4">
      <w:pPr>
        <w:pStyle w:val="a8"/>
        <w:ind w:left="0" w:firstLine="0"/>
        <w:rPr>
          <w:rFonts w:eastAsia="Calibri"/>
        </w:rPr>
      </w:pPr>
    </w:p>
    <w:p w:rsidR="00946FD4" w:rsidRDefault="00BA37DA">
      <w:pPr>
        <w:pStyle w:val="a8"/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>Раздел 6. Сроки и этапы реализации Программы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Программа реализуется в 2023-2025 годах в 3 этапа: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1 этап – 2023 год,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2 этап – 2024 год,</w:t>
      </w:r>
    </w:p>
    <w:p w:rsidR="00946FD4" w:rsidRDefault="00BA37DA">
      <w:pPr>
        <w:pStyle w:val="a8"/>
        <w:rPr>
          <w:rFonts w:eastAsia="Calibri"/>
        </w:rPr>
      </w:pPr>
      <w:r>
        <w:rPr>
          <w:rFonts w:eastAsia="Calibri"/>
        </w:rPr>
        <w:t>3 этап – 2025 год</w:t>
      </w:r>
    </w:p>
    <w:p w:rsidR="00946FD4" w:rsidRDefault="00BA37DA">
      <w:pPr>
        <w:pStyle w:val="a8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7. Ресурсное обеспечение муниципальной программы Объемы бюджетных ассигнований программы</w:t>
      </w:r>
    </w:p>
    <w:p w:rsidR="00946FD4" w:rsidRDefault="00BA37DA">
      <w:pPr>
        <w:pStyle w:val="a8"/>
        <w:jc w:val="right"/>
        <w:rPr>
          <w:rFonts w:eastAsia="Calibri"/>
        </w:rPr>
      </w:pPr>
      <w:r>
        <w:rPr>
          <w:rFonts w:eastAsia="Calibri"/>
        </w:rPr>
        <w:t>Таблица 11</w:t>
      </w:r>
    </w:p>
    <w:tbl>
      <w:tblPr>
        <w:tblW w:w="9349" w:type="dxa"/>
        <w:tblInd w:w="103" w:type="dxa"/>
        <w:tblLook w:val="0000"/>
      </w:tblPr>
      <w:tblGrid>
        <w:gridCol w:w="4711"/>
        <w:gridCol w:w="1277"/>
        <w:gridCol w:w="1120"/>
        <w:gridCol w:w="1120"/>
        <w:gridCol w:w="1121"/>
      </w:tblGrid>
      <w:tr w:rsidR="00946FD4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Источник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</w:tr>
      <w:tr w:rsidR="00946FD4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 xml:space="preserve">Бюджет </w:t>
            </w:r>
            <w:proofErr w:type="spellStart"/>
            <w:r>
              <w:rPr>
                <w:rFonts w:eastAsia="Calibri"/>
              </w:rPr>
              <w:t>Аргаяшского</w:t>
            </w:r>
            <w:proofErr w:type="spellEnd"/>
            <w:r>
              <w:rPr>
                <w:rFonts w:eastAsia="Calibri"/>
              </w:rPr>
              <w:t xml:space="preserve"> муниципального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20,0</w:t>
            </w:r>
          </w:p>
        </w:tc>
      </w:tr>
      <w:tr w:rsidR="00946FD4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Бюджет Челябинской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</w:tr>
      <w:tr w:rsidR="00946FD4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</w:tr>
      <w:tr w:rsidR="00946FD4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D4" w:rsidRDefault="00BA37DA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20,0</w:t>
            </w:r>
          </w:p>
        </w:tc>
      </w:tr>
    </w:tbl>
    <w:p w:rsidR="00946FD4" w:rsidRDefault="00946FD4">
      <w:pPr>
        <w:pStyle w:val="a8"/>
        <w:rPr>
          <w:rFonts w:eastAsia="Calibri"/>
        </w:rPr>
      </w:pPr>
    </w:p>
    <w:p w:rsidR="00946FD4" w:rsidRDefault="00946FD4">
      <w:pPr>
        <w:pStyle w:val="a8"/>
        <w:rPr>
          <w:rFonts w:eastAsia="Calibri"/>
        </w:rPr>
      </w:pPr>
    </w:p>
    <w:p w:rsidR="00946FD4" w:rsidRDefault="00BA37DA">
      <w:pPr>
        <w:pStyle w:val="a8"/>
        <w:jc w:val="center"/>
        <w:rPr>
          <w:b/>
        </w:rPr>
      </w:pPr>
      <w:r>
        <w:rPr>
          <w:b/>
        </w:rPr>
        <w:t xml:space="preserve">Раздел 8. </w:t>
      </w:r>
      <w:r>
        <w:rPr>
          <w:b/>
        </w:rPr>
        <w:t>Финансово-экономическое обоснование муниципальной программы</w:t>
      </w:r>
    </w:p>
    <w:p w:rsidR="00946FD4" w:rsidRDefault="00946FD4">
      <w:pPr>
        <w:pStyle w:val="a8"/>
      </w:pPr>
    </w:p>
    <w:p w:rsidR="00946FD4" w:rsidRDefault="00BA37DA">
      <w:pPr>
        <w:pStyle w:val="a8"/>
      </w:pPr>
      <w:r>
        <w:t xml:space="preserve">Обоснование объемов финансовых ресурсов, необходимых для реализации муниципальной программы, изложено в приложении 3 к муниципальной программе. </w:t>
      </w:r>
    </w:p>
    <w:p w:rsidR="00946FD4" w:rsidRDefault="00BA37DA">
      <w:pPr>
        <w:keepNext/>
        <w:keepLines/>
        <w:spacing w:before="240" w:after="0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Раздел 9. Методика оценки эффективности 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муниципальной программы</w:t>
      </w:r>
    </w:p>
    <w:p w:rsidR="00946FD4" w:rsidRDefault="00946FD4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О(</w:t>
      </w:r>
      <w:proofErr w:type="gram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б)):</w:t>
      </w:r>
    </w:p>
    <w:p w:rsidR="00946FD4" w:rsidRDefault="00946FD4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19650" cy="4286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Оценка эффективности по муниципальной программе, подпрограмме в целом равна сумме показателей эффективности по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мероприятиям муниципальной программы (подпрограммы).</w:t>
      </w: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ования бюджетных средств.</w:t>
      </w:r>
    </w:p>
    <w:p w:rsidR="00946FD4" w:rsidRDefault="00946FD4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67275" cy="428625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Оценка достижения плановых индикативных показателей (</w:t>
      </w:r>
      <w:proofErr w:type="gram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ДИП</w:t>
      </w:r>
      <w:proofErr w:type="gram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):</w:t>
      </w:r>
    </w:p>
    <w:p w:rsidR="00946FD4" w:rsidRDefault="00946FD4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90875" cy="428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FD4" w:rsidRDefault="00946FD4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946FD4" w:rsidRDefault="00946FD4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67150" cy="42862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946FD4" w:rsidRDefault="00946FD4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6FD4" w:rsidRDefault="00BA37DA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95675" cy="4286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FD4" w:rsidRDefault="00946FD4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0187" w:type="dxa"/>
        <w:tblInd w:w="108" w:type="dxa"/>
        <w:tblLook w:val="0000"/>
      </w:tblPr>
      <w:tblGrid>
        <w:gridCol w:w="1924"/>
        <w:gridCol w:w="8263"/>
      </w:tblGrid>
      <w:tr w:rsidR="00946FD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Эффективность использования б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юджетных средств</w:t>
            </w:r>
          </w:p>
        </w:tc>
      </w:tr>
      <w:tr w:rsidR="00946FD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более 1,4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946FD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 до 1,4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946FD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0,5 до 1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низкая эффективность использования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расходов (не достигнуто целевое значение)</w:t>
            </w:r>
          </w:p>
        </w:tc>
      </w:tr>
      <w:tr w:rsidR="00946FD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менее 0,5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D4" w:rsidRDefault="00BA37DA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половину</w:t>
            </w:r>
            <w:proofErr w:type="gram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</w:tr>
    </w:tbl>
    <w:p w:rsidR="00946FD4" w:rsidRDefault="00946FD4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6FD4" w:rsidRDefault="00BA37DA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уровень использования бюджетных средств</w:t>
      </w:r>
    </w:p>
    <w:sectPr w:rsidR="00946FD4" w:rsidSect="00946FD4">
      <w:pgSz w:w="11906" w:h="16838"/>
      <w:pgMar w:top="851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18D0"/>
    <w:multiLevelType w:val="multilevel"/>
    <w:tmpl w:val="4C42D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A13909"/>
    <w:multiLevelType w:val="multilevel"/>
    <w:tmpl w:val="5E9E4F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46FD4"/>
    <w:rsid w:val="00946FD4"/>
    <w:rsid w:val="00BA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747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">
    <w:name w:val="Заголовок 1 Знак"/>
    <w:basedOn w:val="a0"/>
    <w:link w:val="Heading1"/>
    <w:uiPriority w:val="9"/>
    <w:qFormat/>
    <w:rsid w:val="00747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">
    <w:name w:val="Интернет-ссылка"/>
    <w:basedOn w:val="a0"/>
    <w:uiPriority w:val="99"/>
    <w:unhideWhenUsed/>
    <w:rsid w:val="00002806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D50898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946FD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946FD4"/>
    <w:pPr>
      <w:spacing w:after="140" w:line="276" w:lineRule="auto"/>
    </w:pPr>
  </w:style>
  <w:style w:type="paragraph" w:styleId="a6">
    <w:name w:val="List"/>
    <w:basedOn w:val="a5"/>
    <w:rsid w:val="00946FD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946FD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946FD4"/>
    <w:pPr>
      <w:suppressLineNumbers/>
    </w:pPr>
    <w:rPr>
      <w:rFonts w:ascii="PT Astra Serif" w:hAnsi="PT Astra Serif" w:cs="Noto Sans Devanagari"/>
    </w:rPr>
  </w:style>
  <w:style w:type="paragraph" w:styleId="a8">
    <w:name w:val="No Spacing"/>
    <w:uiPriority w:val="1"/>
    <w:qFormat/>
    <w:rsid w:val="00457C0D"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List Paragraph"/>
    <w:basedOn w:val="a"/>
    <w:uiPriority w:val="34"/>
    <w:qFormat/>
    <w:rsid w:val="004104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5089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57C0D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457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026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B3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5447</Words>
  <Characters>31053</Characters>
  <Application>Microsoft Office Word</Application>
  <DocSecurity>0</DocSecurity>
  <Lines>258</Lines>
  <Paragraphs>72</Paragraphs>
  <ScaleCrop>false</ScaleCrop>
  <Company/>
  <LinksUpToDate>false</LinksUpToDate>
  <CharactersWithSpaces>36428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Геннадьевна</dc:creator>
  <dc:description/>
  <cp:lastModifiedBy>Alexey</cp:lastModifiedBy>
  <cp:revision>7</cp:revision>
  <cp:lastPrinted>2023-02-09T09:58:00Z</cp:lastPrinted>
  <dcterms:created xsi:type="dcterms:W3CDTF">2023-02-09T08:39:00Z</dcterms:created>
  <dcterms:modified xsi:type="dcterms:W3CDTF">2023-04-04T03:06:00Z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