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Аргаяшского муниципального района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«Укрепление общественного здоровья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на территории Аргаяшского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12121"/>
          <w:sz w:val="24"/>
          <w:szCs w:val="24"/>
        </w:rPr>
        <w:t>План мероприятий муниципальной программы «Укрепление общественного здоровья»</w:t>
      </w:r>
    </w:p>
    <w:tbl>
      <w:tblPr>
        <w:tblW w:w="147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637"/>
        <w:gridCol w:w="9143"/>
        <w:gridCol w:w="1422"/>
        <w:gridCol w:w="3545"/>
      </w:tblGrid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Организационное обеспечение мероприятий программы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Разработка, рассмотрение на Координационном совете по ЗОЖ и утверждение  муниципальной программы «Укрепление общественного здоровья»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муниципального района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Предоставление информации о ходе выполнения муниципальных программ в ГБУЗ «Челябинский областной центр общественного здоровья и медицинской профилактики» ежеквартально не позднее 10 числа месяца, следующего за отчетным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  мероприятий   по   реализации муниципальной программы «Укрепление общественного здоровья», корректировка плана мероприятий, принятие управленческих решений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 муниципального района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Подготовка медицинских и немедицинских кадров по формированию здорового образа жизни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F1F1F"/>
                <w:sz w:val="24"/>
                <w:szCs w:val="24"/>
              </w:rPr>
              <w:t>Обучение медицинских работников с высшим и средним специальным образованием по вопросам профилактики хронических неинфекционных заболеваний и формирования здорового образа жизни с использованием образовательных модулей портала непрерывного медицинского и фармацевтического образования Минздрава России (НМО)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Организация </w:t>
            </w:r>
            <w:r>
              <w:rPr>
                <w:rFonts w:eastAsia="Calibri" w:cs="Times New Roman" w:ascii="Times New Roman" w:hAnsi="Times New Roman"/>
                <w:color w:val="343434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161616"/>
                <w:sz w:val="24"/>
                <w:szCs w:val="24"/>
              </w:rPr>
              <w:t xml:space="preserve">проведение </w:t>
            </w:r>
            <w:r>
              <w:rPr>
                <w:rFonts w:eastAsia="Calibri" w:cs="Times New Roman" w:ascii="Times New Roman" w:hAnsi="Times New Roman"/>
                <w:color w:val="2A2A2A"/>
                <w:sz w:val="24"/>
                <w:szCs w:val="24"/>
              </w:rPr>
              <w:t xml:space="preserve">обучающих </w:t>
            </w:r>
            <w:r>
              <w:rPr>
                <w:rFonts w:eastAsia="Calibri" w:cs="Times New Roman" w:ascii="Times New Roman" w:hAnsi="Times New Roman"/>
                <w:color w:val="333333"/>
                <w:sz w:val="24"/>
                <w:szCs w:val="24"/>
              </w:rPr>
              <w:t xml:space="preserve">семинаров (в том числе в онлайн формате)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 xml:space="preserve">для медицинских работников, </w:t>
            </w:r>
            <w:r>
              <w:rPr>
                <w:rFonts w:eastAsia="Calibri" w:cs="Times New Roman" w:ascii="Times New Roman" w:hAnsi="Times New Roman"/>
                <w:color w:val="1C1C1C"/>
                <w:sz w:val="24"/>
                <w:szCs w:val="24"/>
              </w:rPr>
              <w:t xml:space="preserve">педагогов, </w:t>
            </w:r>
            <w:r>
              <w:rPr>
                <w:rFonts w:eastAsia="Calibri" w:cs="Times New Roman" w:ascii="Times New Roman" w:hAnsi="Times New Roman"/>
                <w:color w:val="161616"/>
                <w:sz w:val="24"/>
                <w:szCs w:val="24"/>
              </w:rPr>
              <w:t xml:space="preserve">социальных </w:t>
            </w:r>
            <w:r>
              <w:rPr>
                <w:rFonts w:eastAsia="Calibri" w:cs="Times New Roman" w:ascii="Times New Roman" w:hAnsi="Times New Roman"/>
                <w:color w:val="232323"/>
                <w:sz w:val="24"/>
                <w:szCs w:val="24"/>
              </w:rPr>
              <w:t xml:space="preserve">работников, </w:t>
            </w:r>
            <w:r>
              <w:rPr>
                <w:rFonts w:eastAsia="Calibri" w:cs="Times New Roman" w:ascii="Times New Roman" w:hAnsi="Times New Roman"/>
                <w:color w:val="2A2A2A"/>
                <w:sz w:val="24"/>
                <w:szCs w:val="24"/>
              </w:rPr>
              <w:t xml:space="preserve">волонтёров, </w:t>
            </w:r>
            <w:r>
              <w:rPr>
                <w:rFonts w:eastAsia="Calibri" w:cs="Times New Roman" w:ascii="Times New Roman" w:hAnsi="Times New Roman"/>
                <w:color w:val="232323"/>
                <w:sz w:val="24"/>
                <w:szCs w:val="24"/>
              </w:rPr>
              <w:t xml:space="preserve">специалистов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культурно-досуговой </w:t>
            </w:r>
            <w:r>
              <w:rPr>
                <w:rFonts w:eastAsia="Calibri" w:cs="Times New Roman" w:ascii="Times New Roman" w:hAnsi="Times New Roman"/>
                <w:color w:val="262626"/>
                <w:w w:val="95"/>
                <w:sz w:val="24"/>
                <w:szCs w:val="24"/>
              </w:rPr>
              <w:t xml:space="preserve">сферы, </w:t>
            </w:r>
            <w:r>
              <w:rPr>
                <w:rFonts w:eastAsia="Calibri" w:cs="Times New Roman" w:ascii="Times New Roman" w:hAnsi="Times New Roman"/>
                <w:color w:val="2B2B2B"/>
                <w:sz w:val="24"/>
                <w:szCs w:val="24"/>
              </w:rPr>
              <w:t xml:space="preserve">специалистов, </w:t>
            </w:r>
            <w:r>
              <w:rPr>
                <w:rFonts w:eastAsia="Calibri" w:cs="Times New Roman" w:ascii="Times New Roman" w:hAnsi="Times New Roman"/>
                <w:color w:val="2A2A2A"/>
                <w:sz w:val="24"/>
                <w:szCs w:val="24"/>
              </w:rPr>
              <w:t xml:space="preserve">работающих </w:t>
            </w:r>
            <w:r>
              <w:rPr>
                <w:rFonts w:eastAsia="Calibri" w:cs="Times New Roman" w:ascii="Times New Roman" w:hAnsi="Times New Roman"/>
                <w:color w:val="2F2F2F"/>
                <w:sz w:val="24"/>
                <w:szCs w:val="24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сфере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физической </w:t>
            </w: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культуры </w:t>
            </w:r>
            <w:r>
              <w:rPr>
                <w:rFonts w:eastAsia="Calibri" w:cs="Times New Roman" w:ascii="Times New Roman" w:hAnsi="Times New Roman"/>
                <w:color w:val="383838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2D2D2D"/>
                <w:sz w:val="24"/>
                <w:szCs w:val="24"/>
              </w:rPr>
              <w:t xml:space="preserve">спорта </w:t>
            </w:r>
            <w:r>
              <w:rPr>
                <w:rFonts w:eastAsia="Calibri" w:cs="Times New Roman" w:ascii="Times New Roman" w:hAnsi="Times New Roman"/>
                <w:color w:val="3D3D3D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1F1F1F"/>
                <w:sz w:val="24"/>
                <w:szCs w:val="24"/>
              </w:rPr>
              <w:t xml:space="preserve">др.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по вопросам </w:t>
            </w:r>
            <w:r>
              <w:rPr>
                <w:rFonts w:eastAsia="Calibri" w:cs="Times New Roman" w:ascii="Times New Roman" w:hAnsi="Times New Roman"/>
                <w:color w:val="232323"/>
                <w:sz w:val="24"/>
                <w:szCs w:val="24"/>
              </w:rPr>
              <w:t xml:space="preserve">профилактики хронических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 xml:space="preserve">неинфекционных </w:t>
            </w:r>
            <w:r>
              <w:rPr>
                <w:rFonts w:eastAsia="Calibri" w:cs="Times New Roman" w:ascii="Times New Roman" w:hAnsi="Times New Roman"/>
                <w:color w:val="242424"/>
                <w:sz w:val="24"/>
                <w:szCs w:val="24"/>
              </w:rPr>
              <w:t xml:space="preserve">заболеваний </w:t>
            </w:r>
            <w:r>
              <w:rPr>
                <w:rFonts w:eastAsia="Calibri" w:cs="Times New Roman" w:ascii="Times New Roman" w:hAnsi="Times New Roman"/>
                <w:color w:val="2D2D2D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 xml:space="preserve">формирования </w:t>
            </w:r>
            <w:r>
              <w:rPr>
                <w:rFonts w:eastAsia="Calibri" w:cs="Times New Roman" w:ascii="Times New Roman" w:hAnsi="Times New Roman"/>
                <w:color w:val="161616"/>
                <w:sz w:val="24"/>
                <w:szCs w:val="24"/>
              </w:rPr>
              <w:t xml:space="preserve">здорового </w:t>
            </w:r>
            <w:r>
              <w:rPr>
                <w:rFonts w:eastAsia="Calibri" w:cs="Times New Roman" w:ascii="Times New Roman" w:hAnsi="Times New Roman"/>
                <w:color w:val="1F1F1F"/>
                <w:sz w:val="24"/>
                <w:szCs w:val="24"/>
              </w:rPr>
              <w:t xml:space="preserve">образа </w:t>
            </w: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жизни (в том числе с использованием цикла онлайн-школ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ГБУЗ «Челябинский областной центр общественного здоровья и медицинской профилактики»)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21212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ГБУЗ «Районная больница с. Аргаяш»,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волонтеры.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Совершенствование системы раннего выявления неинфекционных заболеваний, коррекции факторов риска их развития и диспансерного наблюдения 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23" w:leader="none"/>
                <w:tab w:val="left" w:pos="2067" w:leader="none"/>
                <w:tab w:val="left" w:pos="3771" w:leader="none"/>
                <w:tab w:val="left" w:pos="4095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F1F1F"/>
                <w:sz w:val="24"/>
                <w:szCs w:val="24"/>
              </w:rPr>
              <w:t xml:space="preserve">Информирование </w:t>
            </w:r>
            <w:r>
              <w:rPr>
                <w:rFonts w:eastAsia="Calibri" w:cs="Times New Roman" w:ascii="Times New Roman" w:hAnsi="Times New Roman"/>
                <w:color w:val="2D2D2D"/>
                <w:sz w:val="24"/>
                <w:szCs w:val="24"/>
              </w:rPr>
              <w:t xml:space="preserve">населения </w:t>
            </w:r>
            <w:r>
              <w:rPr>
                <w:rFonts w:eastAsia="Calibri" w:cs="Times New Roman" w:ascii="Times New Roman" w:hAnsi="Times New Roman"/>
                <w:color w:val="343434"/>
                <w:sz w:val="24"/>
                <w:szCs w:val="24"/>
              </w:rPr>
              <w:t xml:space="preserve">о </w:t>
            </w:r>
            <w:r>
              <w:rPr>
                <w:rFonts w:eastAsia="Calibri" w:cs="Times New Roman" w:ascii="Times New Roman" w:hAnsi="Times New Roman"/>
                <w:color w:val="1C1C1C"/>
                <w:sz w:val="24"/>
                <w:szCs w:val="24"/>
              </w:rPr>
              <w:t xml:space="preserve">значимости проведения </w:t>
            </w:r>
            <w:r>
              <w:rPr>
                <w:rFonts w:eastAsia="Calibri" w:cs="Times New Roman" w:ascii="Times New Roman" w:hAnsi="Times New Roman"/>
                <w:color w:val="1D1D1D"/>
                <w:sz w:val="24"/>
                <w:szCs w:val="24"/>
              </w:rPr>
              <w:t xml:space="preserve">диспансеризации </w:t>
            </w:r>
            <w:r>
              <w:rPr>
                <w:rFonts w:eastAsia="Calibri" w:cs="Times New Roman" w:ascii="Times New Roman" w:hAnsi="Times New Roman"/>
                <w:color w:val="2F2F2F"/>
                <w:spacing w:val="-17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</w:rPr>
              <w:t>профилакт</w:t>
            </w:r>
            <w:r>
              <w:rPr>
                <w:rFonts w:eastAsia="Calibri" w:cs="Times New Roman" w:ascii="Times New Roman" w:hAnsi="Times New Roman"/>
                <w:color w:val="2A2A2A"/>
                <w:sz w:val="24"/>
                <w:szCs w:val="24"/>
              </w:rPr>
              <w:t xml:space="preserve">ических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медицинских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>осмотров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62626"/>
                <w:sz w:val="24"/>
                <w:szCs w:val="24"/>
              </w:rPr>
              <w:t>работодатели,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62626"/>
                <w:sz w:val="24"/>
                <w:szCs w:val="24"/>
              </w:rPr>
              <w:t>волонтеры.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A1A1A"/>
                <w:sz w:val="24"/>
                <w:szCs w:val="24"/>
              </w:rPr>
              <w:t xml:space="preserve">Организация </w:t>
            </w:r>
            <w:r>
              <w:rPr>
                <w:rFonts w:eastAsia="Calibri" w:cs="Times New Roman" w:ascii="Times New Roman" w:hAnsi="Times New Roman"/>
                <w:color w:val="313131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2D2D2D"/>
                <w:sz w:val="24"/>
                <w:szCs w:val="24"/>
              </w:rPr>
              <w:t xml:space="preserve">проведение </w:t>
            </w:r>
            <w:r>
              <w:rPr>
                <w:rFonts w:eastAsia="Calibri" w:cs="Times New Roman" w:ascii="Times New Roman" w:hAnsi="Times New Roman"/>
                <w:color w:val="232323"/>
                <w:sz w:val="24"/>
                <w:szCs w:val="24"/>
              </w:rPr>
              <w:t>диспансеризации</w:t>
            </w:r>
            <w:r>
              <w:rPr>
                <w:rFonts w:eastAsia="Calibri" w:cs="Times New Roman" w:ascii="Times New Roman" w:hAnsi="Times New Roman"/>
                <w:color w:val="343434"/>
                <w:sz w:val="24"/>
                <w:szCs w:val="24"/>
              </w:rPr>
              <w:t xml:space="preserve">и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профилактических </w:t>
            </w:r>
            <w:r>
              <w:rPr>
                <w:rFonts w:eastAsia="Calibri" w:cs="Times New Roman" w:ascii="Times New Roman" w:hAnsi="Times New Roman"/>
                <w:color w:val="111111"/>
                <w:sz w:val="24"/>
                <w:szCs w:val="24"/>
              </w:rPr>
              <w:t xml:space="preserve">медицинских </w:t>
            </w: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осмотров </w:t>
            </w:r>
            <w:r>
              <w:rPr>
                <w:rFonts w:eastAsia="Calibri" w:cs="Times New Roman" w:ascii="Times New Roman" w:hAnsi="Times New Roman"/>
                <w:color w:val="383838"/>
                <w:sz w:val="24"/>
                <w:szCs w:val="24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медицинских </w:t>
            </w:r>
            <w:r>
              <w:rPr>
                <w:rFonts w:eastAsia="Calibri" w:cs="Times New Roman" w:ascii="Times New Roman" w:hAnsi="Times New Roman"/>
                <w:color w:val="161616"/>
                <w:sz w:val="24"/>
                <w:szCs w:val="24"/>
              </w:rPr>
              <w:t xml:space="preserve">организациях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07" w:leader="none"/>
                <w:tab w:val="left" w:pos="3750" w:leader="none"/>
                <w:tab w:val="left" w:pos="5626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C1C1C"/>
                <w:sz w:val="24"/>
                <w:szCs w:val="24"/>
              </w:rPr>
              <w:t xml:space="preserve">Проведение скрининговых </w:t>
            </w:r>
            <w:r>
              <w:rPr>
                <w:rFonts w:eastAsia="Calibri" w:cs="Times New Roman" w:ascii="Times New Roman" w:hAnsi="Times New Roman"/>
                <w:color w:val="232323"/>
                <w:sz w:val="24"/>
                <w:szCs w:val="24"/>
              </w:rPr>
              <w:t xml:space="preserve">исследований </w:t>
            </w:r>
            <w:r>
              <w:rPr>
                <w:rFonts w:eastAsia="Calibri" w:cs="Times New Roman" w:ascii="Times New Roman" w:hAnsi="Times New Roman"/>
                <w:color w:val="313131"/>
                <w:sz w:val="24"/>
                <w:szCs w:val="24"/>
              </w:rPr>
              <w:t>по в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ыявлению </w:t>
            </w:r>
            <w:r>
              <w:rPr>
                <w:rFonts w:eastAsia="Calibri" w:cs="Times New Roman" w:ascii="Times New Roman" w:hAnsi="Times New Roman"/>
                <w:color w:val="2F2F2F"/>
                <w:sz w:val="24"/>
                <w:szCs w:val="24"/>
              </w:rPr>
              <w:t xml:space="preserve">факторов </w:t>
            </w:r>
            <w:r>
              <w:rPr>
                <w:rFonts w:eastAsia="Calibri" w:cs="Times New Roman" w:ascii="Times New Roman" w:hAnsi="Times New Roman"/>
                <w:color w:val="181818"/>
                <w:sz w:val="24"/>
                <w:szCs w:val="24"/>
              </w:rPr>
              <w:t>риска развития хронических неинфекционных за</w:t>
            </w:r>
            <w:r>
              <w:rPr>
                <w:rFonts w:eastAsia="Calibri" w:cs="Times New Roman" w:ascii="Times New Roman" w:hAnsi="Times New Roman"/>
                <w:color w:val="1C1C1C"/>
                <w:sz w:val="24"/>
                <w:szCs w:val="24"/>
              </w:rPr>
              <w:t xml:space="preserve">болеваний </w:t>
            </w:r>
            <w:r>
              <w:rPr>
                <w:rFonts w:eastAsia="Calibri" w:cs="Times New Roman" w:ascii="Times New Roman" w:hAnsi="Times New Roman"/>
                <w:color w:val="2D2D2D"/>
                <w:sz w:val="24"/>
                <w:szCs w:val="24"/>
              </w:rPr>
              <w:t xml:space="preserve">во </w:t>
            </w:r>
            <w:r>
              <w:rPr>
                <w:rFonts w:eastAsia="Calibri" w:cs="Times New Roman" w:ascii="Times New Roman" w:hAnsi="Times New Roman"/>
                <w:color w:val="2F2F2F"/>
                <w:spacing w:val="-4"/>
                <w:w w:val="95"/>
                <w:sz w:val="24"/>
                <w:szCs w:val="24"/>
              </w:rPr>
              <w:t xml:space="preserve">время </w:t>
            </w:r>
            <w:r>
              <w:rPr>
                <w:rFonts w:eastAsia="Calibri" w:cs="Times New Roman" w:ascii="Times New Roman" w:hAnsi="Times New Roman"/>
                <w:color w:val="343434"/>
                <w:sz w:val="24"/>
                <w:szCs w:val="24"/>
              </w:rPr>
              <w:t>массовых п</w:t>
            </w: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рофилактических </w:t>
            </w:r>
            <w:r>
              <w:rPr>
                <w:rFonts w:eastAsia="Calibri" w:cs="Times New Roman" w:ascii="Times New Roman" w:hAnsi="Times New Roman"/>
                <w:color w:val="2B2B2B"/>
                <w:sz w:val="24"/>
                <w:szCs w:val="24"/>
              </w:rPr>
              <w:t>мероприятий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52" w:leader="none"/>
                <w:tab w:val="left" w:pos="3012" w:leader="none"/>
                <w:tab w:val="left" w:pos="4015" w:leader="none"/>
                <w:tab w:val="left" w:pos="5037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C1C1C"/>
                <w:sz w:val="24"/>
                <w:szCs w:val="24"/>
              </w:rPr>
              <w:t xml:space="preserve">Организация </w:t>
            </w:r>
            <w:r>
              <w:rPr>
                <w:rFonts w:eastAsia="Calibri" w:cs="Times New Roman" w:ascii="Times New Roman" w:hAnsi="Times New Roman"/>
                <w:color w:val="313131"/>
                <w:sz w:val="24"/>
                <w:szCs w:val="24"/>
              </w:rPr>
              <w:t>проведения диспансеризации и профилактических медицинских осмотров с использованием выездных бригад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с.Аргаяш».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Совершенствование </w:t>
            </w:r>
            <w:r>
              <w:rPr>
                <w:rFonts w:eastAsia="Calibri" w:cs="Times New Roman" w:ascii="Times New Roman" w:hAnsi="Times New Roman"/>
                <w:color w:val="262626"/>
                <w:sz w:val="24"/>
                <w:szCs w:val="24"/>
              </w:rPr>
              <w:t xml:space="preserve">работы </w:t>
            </w:r>
            <w:r>
              <w:rPr>
                <w:rFonts w:eastAsia="Calibri" w:cs="Times New Roman" w:ascii="Times New Roman" w:hAnsi="Times New Roman"/>
                <w:color w:val="242424"/>
                <w:sz w:val="24"/>
                <w:szCs w:val="24"/>
              </w:rPr>
              <w:t xml:space="preserve">Школ </w:t>
            </w:r>
            <w:r>
              <w:rPr>
                <w:rFonts w:eastAsia="Calibri" w:cs="Times New Roman" w:ascii="Times New Roman" w:hAnsi="Times New Roman"/>
                <w:color w:val="313131"/>
                <w:sz w:val="24"/>
                <w:szCs w:val="24"/>
              </w:rPr>
              <w:t xml:space="preserve">здоровья (в том числе в онлайн формате) </w:t>
            </w:r>
            <w:r>
              <w:rPr>
                <w:rFonts w:eastAsia="Calibri" w:cs="Times New Roman" w:ascii="Times New Roman" w:hAnsi="Times New Roman"/>
                <w:color w:val="363636"/>
                <w:sz w:val="24"/>
                <w:szCs w:val="24"/>
              </w:rPr>
              <w:t>по к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>оррекции ф</w:t>
            </w:r>
            <w:r>
              <w:rPr>
                <w:rFonts w:eastAsia="Calibri" w:cs="Times New Roman" w:ascii="Times New Roman" w:hAnsi="Times New Roman"/>
                <w:color w:val="181818"/>
                <w:sz w:val="24"/>
                <w:szCs w:val="24"/>
              </w:rPr>
              <w:t xml:space="preserve">акторов </w:t>
            </w:r>
            <w:r>
              <w:rPr>
                <w:rFonts w:eastAsia="Calibri" w:cs="Times New Roman" w:ascii="Times New Roman" w:hAnsi="Times New Roman"/>
                <w:color w:val="2B2B2B"/>
                <w:sz w:val="24"/>
                <w:szCs w:val="24"/>
              </w:rPr>
              <w:t xml:space="preserve">риска </w:t>
            </w:r>
            <w:r>
              <w:rPr>
                <w:rFonts w:eastAsia="Calibri" w:cs="Times New Roman" w:ascii="Times New Roman" w:hAnsi="Times New Roman"/>
                <w:color w:val="161616"/>
                <w:sz w:val="24"/>
                <w:szCs w:val="24"/>
              </w:rPr>
              <w:t xml:space="preserve">хронических </w:t>
            </w:r>
            <w:r>
              <w:rPr>
                <w:rFonts w:eastAsia="Calibri" w:cs="Times New Roman" w:ascii="Times New Roman" w:hAnsi="Times New Roman"/>
                <w:color w:val="131313"/>
                <w:sz w:val="24"/>
                <w:szCs w:val="24"/>
              </w:rPr>
              <w:t xml:space="preserve">неинфекционных </w:t>
            </w:r>
            <w:r>
              <w:rPr>
                <w:rFonts w:eastAsia="Calibri" w:cs="Times New Roman" w:ascii="Times New Roman" w:hAnsi="Times New Roman"/>
                <w:color w:val="282828"/>
                <w:sz w:val="24"/>
                <w:szCs w:val="24"/>
              </w:rPr>
              <w:t xml:space="preserve">заболеваний, школ пациентов с хроническими неинфекционными заболеваниями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21212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 xml:space="preserve">Организация диспансерного наблюдения лиц, страдающих хроническими неинфекционными заболеваниями, в целях своевременного выявления, предупреждения осложнений, обострений заболеваний, их профилактики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Информационно-коммуникационная кампания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Размещение информационных материалов (печатная продукция и социальные ролики) в социальных сетях, на сайтах медицинских организаций администрации муниципалитета и подведомственных учреждений, отделений многофункциональных центров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ОМВД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Территориальный отдел Управления Роспотребнадзора по Челябинской области в Сосновском, Аргаяшском, Кунашакском и Красноармейском районах,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Управление культуры Аргаяшского муниципального района;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Управление социальной защиты населения (УСЗН);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«Комплексный центр социального обслуживания населения»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«Физкультура и спорт»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МКУ «Управление культуры, туризма и молодежной политики»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Комитет по физической культуре, спорту и молодежной политике администрации Аргаяшского муниципального района (Комитет по ФКСТиМП);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Редакция «Восход»;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МООИ Аргаяшского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Районный Совет ветеранов;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волонтеры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Размещение информационных материалов (печатная продукция и социальные ролики) в местных средствах массовой информации (печатные издания, радио, телевидение)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Размещение информационных материалов на объектах наружной рекламы муниципального образования (общественные электронные экраны/табло, баннеры, остановочные комплексы, муниципальный транспорт и т.д.)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1" w:right="84" w:firstLine="3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Проведение профилактических акций, направленных на пропаганду здорового образа жизни и профилактику хронических неинфекционных заболеваний (круглые столы, лекции, флэш-мобы, дни открытых дверей, тематические вечера, конкурсы рисунков и плакатов среди детей, выставки, пресс- конференции и т.д.). Освещение мероприятий в местных средствах массовой информации.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Информирование населения о необходимости проведения вакцинопрофилактики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Информирование населения о необходимости проведения мероприятий по профилактике заболеваний полости рта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Информирование населения по вопросам репродуктивного здоровья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Информирование населения о работе бесплатной «горячей линии» по вопросам здорового образа жизни 8-800-200-0-200 и детского телефона доверия 8-800-2000-122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Разработка и создание раздела по здоровому образу жизни на официальных сайтах муниципальных образований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05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4" w:firstLine="1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Обеспечение поддержки волонтерских организаций (студентов ВУЗов, СУЗов, а также «серебряных» волонтеров, занимающихся профилактикой заболеваний и формированием ЗОЖ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w w:val="105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w w:val="105"/>
                <w:sz w:val="24"/>
                <w:szCs w:val="24"/>
              </w:rPr>
              <w:t>Создание среды, благоприятной для сохранения и укрепления здоровья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w w:val="105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Благоустройство в муниципальном образовании инфраструктуры для ведения здорового образа жизни (спортивные, экологические объекты)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МУ «Физкультура и спорт» Аргаяшского муниципального района;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6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Создание уличных спортивных площадок и оздоровительных зон для занятий физической культурой и спортом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Размещение информационных материалов о правилах здорового питания в пунктах общественного питания, продуктовых магазинах, торговых сетях, в образовательных организациях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5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Разработка и совершенствование мер, направленных на улучшение качества питания учащихся общеобразовательных организаций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A2A2A"/>
                <w:sz w:val="24"/>
                <w:szCs w:val="24"/>
              </w:rPr>
              <w:t>Вовлечение в занятия физической культурой и спортом, формирование доступной спортивной среды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0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Регулярное проведение спортивно-массовых мероприятий в муниципальном образовании, предприятиях, образовательныхорганизациях, парках, скверах, на центральныхплощадях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«Физкультура и спорт»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МКУ «Управление культуры, туризма и молодежной политики», МУ КЦСОН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Редакция «Восход»;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МООИ Аргаяшского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Районный Совет ветеранов;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волонтеры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 xml:space="preserve">Создание условий для реализации исполнения нормативов (тестов) Всероссийского физкультурно-спортивного комплекса «Готов к труду и обороне» (ГТО)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Активное выявление и привлечение детей из </w:t>
            </w: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неблагополучных семей к занятиям спортом и физической культуре, включение их в секции и спортивные кружки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9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w w:val="105"/>
                <w:sz w:val="24"/>
                <w:szCs w:val="24"/>
              </w:rPr>
              <w:t>Обеспечение и развитие на базе образовательных организаций спортивных объектов (спортивные залы, в том числе тренажерные, бассейны и комплексные спортивные сооружения)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27" w:firstLine="2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A2A2A"/>
                <w:sz w:val="24"/>
                <w:szCs w:val="24"/>
              </w:rPr>
              <w:t>Реализация программ по дворовым состязаниям («Золотая шайба», «Кожаный мяч», стритбол, волейбол, мини-лапта, тимбилдинг, твистер, спортивные эстафеты и т.д.)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7" w:hanging="0"/>
              <w:rPr>
                <w:rFonts w:ascii="Times New Roman" w:hAnsi="Times New Roman" w:eastAsia="Calibri" w:cs="Times New Roman"/>
                <w:color w:val="181818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1F1F1F"/>
                <w:sz w:val="24"/>
                <w:szCs w:val="24"/>
              </w:rPr>
              <w:t>Обучение населения о</w:t>
            </w:r>
            <w:r>
              <w:rPr>
                <w:rFonts w:eastAsia="Calibri" w:cs="Times New Roman" w:ascii="Times New Roman" w:hAnsi="Times New Roman"/>
                <w:color w:val="212121"/>
                <w:sz w:val="24"/>
                <w:szCs w:val="24"/>
              </w:rPr>
              <w:t>здоровительной скандинавской ходьбе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12121"/>
                <w:sz w:val="24"/>
                <w:szCs w:val="24"/>
              </w:rPr>
              <w:t>Внедрение корпоративных программ укрепления здоровья работающих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4"/>
                <w:szCs w:val="24"/>
              </w:rPr>
              <w:t xml:space="preserve">Взаимодействие с работодателями по вопросам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охраны здоровья. Р</w:t>
            </w:r>
            <w:r>
              <w:rPr>
                <w:rFonts w:eastAsia="Times New Roman" w:cs="Times New Roman" w:ascii="Times New Roman" w:hAnsi="Times New Roman"/>
                <w:color w:val="212121"/>
                <w:sz w:val="24"/>
                <w:szCs w:val="24"/>
              </w:rPr>
              <w:t xml:space="preserve">азработка   корпоративной программы и плана мероприятий по укреплению здоровья работающего населения. Реализация мероприятий корпоративной программы.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Администрация Аргаяшскогомуниципального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с.Аргаяш»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Оценка эффективности проводимых мероприятий корпоративных программ.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12121"/>
                <w:sz w:val="24"/>
                <w:szCs w:val="24"/>
              </w:rPr>
              <w:t>Мероприятия, направленные на снижение потребления алкоголя, табака и других форм доставки никотина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Информационно-коммуникационная кампания: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67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обучающих семинаров для сотрудников образовательных, социальных, правоохранительных и иных служб, ведомств и организаций, по вопросам медицинской профилактики наркологических расстройств, раннего выявления лиц с риском развития и лиц с наркологическими расстройствами.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67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населения о возможности получения помощи при наркологических расстройствах.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67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тематических акций и мероприятий, направленных против употребления алкоголя и табака среди несовершеннолетних совместно с заинтересованными ведомствами, общественными организациями и волонтерскими движениями.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467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в отношении родителей или иных законных представителей несовершеннолетних детей, употребляющих спиртные напитки.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Администрация муниципального образования,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 Аргаяш»,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«Физкультура и спорт»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МКУ «Управление культуры, туризма и молодежной политики»,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КЦСОН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Редакция «Восход»;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МООИ Аргаяшского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Районный Совет ветеранов;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волонтеры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Лечебные мероприятия: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Организация системы раннего выявления и профилактического консультирования лиц с высоким риском развития наркологических расстройств при проведении диспансеризации, всех видов профилактических осмотров, всех видов первичной специализированной медико-санитарной помощи.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 Аргаяш»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9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Межведомственные мероприятия: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Рассмотрение вопросов профилактики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наркологических расстройств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, потребления табака и других форм доставки никотина на Координационном совете по ЗОЖ.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Включение мероприятий по профилактике наркологических расстройств, потребления табака и других форм доставки никотина в муниципальные программы «Укрепление общественного здоровья».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Ограничение продажи алкогольной и спиртосодержащей продукции в муниципальном образовании в Дни последних звонков, в Всероссийский День трезвости и т.д.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проверок по выявлению нарушений в части запрета продажи алкогольной и никотиносодержащей продукции несовершеннолетним.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Выявление торговых объектов, осуществляющих розничную продажу алкогольной и никотиносодержащей продукции без лицензии.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Оперативно-профилактические мероприятия, направленные на противодействие незаконному обороту алкогольной и спиртосодержащей продукции.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Психолого-педагогическое консультирование родителей по профилактике злоупотребления алкоголем, проведение индивидуальных и коллективных бесед с несовершеннолетними с привлечением психологов, врачей- педиатров, наркологов, психиатров.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Оказание содействия несовершеннолетним подросткам, проживающим в семьях, находящихся в социально опасном положении, в проведении летнего отдыха и летней трудовой занятости.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442" w:leader="none"/>
              </w:tabs>
              <w:spacing w:lineRule="auto" w:line="240" w:before="0" w:after="0"/>
              <w:ind w:left="42" w:firstLine="142"/>
              <w:jc w:val="both"/>
              <w:rPr>
                <w:rFonts w:ascii="Times New Roman" w:hAnsi="Times New Roman" w:eastAsia="Calibri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Кодировка от алкогольной зависимости членов семей, находящихся в трудной жизненной ситуации.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образования,,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ОМВД Аргаяшского муниципального района,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Территориальный отдел Управления Роспотребнадзора по Челябинской области в Сосновском, Аргаяшском, Кунашакском и Красноармейском районах,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ГБУЗ «Районная больница с. Аргаяш»,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Управление образования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 КЦСОН Аргаяшского муниципального района;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УСЗН Аргаяшского муниципального района, Редакция «Восход»;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волонтеры, СОНКО</w:t>
            </w:r>
          </w:p>
        </w:tc>
      </w:tr>
    </w:tbl>
    <w:p>
      <w:pPr>
        <w:pStyle w:val="NoSpacing"/>
        <w:jc w:val="center"/>
        <w:rPr/>
      </w:pPr>
      <w:r>
        <w:rPr/>
      </w:r>
    </w:p>
    <w:p>
      <w:pPr>
        <w:pStyle w:val="NoSpacing"/>
        <w:ind w:left="10" w:firstLine="9204"/>
        <w:rPr>
          <w:sz w:val="22"/>
        </w:rPr>
      </w:pPr>
      <w:r>
        <w:rPr/>
        <w:t xml:space="preserve"> </w:t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 xml:space="preserve">Приложение 2 </w:t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 xml:space="preserve">к муниципальной программе </w:t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 xml:space="preserve">Аргаяшского муниципального района </w:t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 xml:space="preserve">«Укрепление общественного здоровья  </w:t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 xml:space="preserve">на территории Аргаяшского муниципального района  </w:t>
      </w:r>
    </w:p>
    <w:p>
      <w:pPr>
        <w:pStyle w:val="NoSpacing"/>
        <w:ind w:left="10" w:firstLine="9204"/>
        <w:jc w:val="right"/>
        <w:rPr>
          <w:sz w:val="22"/>
        </w:rPr>
      </w:pPr>
      <w:r>
        <w:rPr>
          <w:sz w:val="22"/>
        </w:rPr>
        <w:t>Челябинской области»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>
      <w:pPr>
        <w:pStyle w:val="NoSpacing"/>
        <w:ind w:left="10" w:hanging="0"/>
        <w:jc w:val="center"/>
        <w:rPr>
          <w:sz w:val="24"/>
          <w:szCs w:val="24"/>
        </w:rPr>
      </w:pPr>
      <w:r>
        <w:rPr>
          <w:sz w:val="24"/>
          <w:szCs w:val="24"/>
        </w:rPr>
        <w:t>о целевых показателях (индикаторах) муниципальной программы (подпрограммы) и их значениях</w:t>
      </w:r>
    </w:p>
    <w:p>
      <w:pPr>
        <w:pStyle w:val="NoSpacing"/>
        <w:ind w:left="1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1"/>
        <w:tblW w:w="14747" w:type="dxa"/>
        <w:jc w:val="left"/>
        <w:tblInd w:w="-1139" w:type="dxa"/>
        <w:tblCellMar>
          <w:top w:w="7" w:type="dxa"/>
          <w:left w:w="110" w:type="dxa"/>
          <w:bottom w:w="0" w:type="dxa"/>
          <w:right w:w="50" w:type="dxa"/>
        </w:tblCellMar>
        <w:tblLook w:val="04a0" w:noVBand="1" w:noHBand="0" w:lastColumn="0" w:firstColumn="1" w:lastRow="0" w:firstRow="1"/>
      </w:tblPr>
      <w:tblGrid>
        <w:gridCol w:w="693"/>
        <w:gridCol w:w="5925"/>
        <w:gridCol w:w="1677"/>
        <w:gridCol w:w="2510"/>
        <w:gridCol w:w="985"/>
        <w:gridCol w:w="982"/>
        <w:gridCol w:w="1974"/>
      </w:tblGrid>
      <w:tr>
        <w:trPr>
          <w:trHeight w:val="732" w:hRule="atLeast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"/>
              <w:ind w:left="127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ind w:left="79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п/п </w:t>
            </w:r>
          </w:p>
        </w:tc>
        <w:tc>
          <w:tcPr>
            <w:tcW w:w="5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181" w:right="123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Наименование целевого показателя (индикатора) 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Единица измерения </w:t>
            </w:r>
          </w:p>
        </w:tc>
        <w:tc>
          <w:tcPr>
            <w:tcW w:w="6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Значение целевых показателей (индикаторов) по годам реализации муниципальной программы </w:t>
            </w:r>
          </w:p>
        </w:tc>
      </w:tr>
      <w:tr>
        <w:trPr>
          <w:trHeight w:val="1114" w:hRule="atLeast"/>
        </w:trPr>
        <w:tc>
          <w:tcPr>
            <w:tcW w:w="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59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1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2023 год </w:t>
            </w:r>
          </w:p>
          <w:p>
            <w:pPr>
              <w:pStyle w:val="Normal"/>
              <w:spacing w:lineRule="auto" w:line="240" w:before="0" w:after="0"/>
              <w:ind w:left="62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(план)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37" w:before="0" w:after="43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2024 год </w:t>
            </w:r>
          </w:p>
          <w:p>
            <w:pPr>
              <w:pStyle w:val="Normal"/>
              <w:spacing w:lineRule="auto" w:line="240" w:before="0" w:after="0"/>
              <w:ind w:left="65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(план)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37" w:before="0" w:after="43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2025 год </w:t>
            </w:r>
          </w:p>
          <w:p>
            <w:pPr>
              <w:pStyle w:val="Normal"/>
              <w:spacing w:lineRule="auto" w:line="240" w:before="0" w:after="0"/>
              <w:ind w:left="62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(план)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За период реализации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муниципальной программы </w:t>
            </w:r>
          </w:p>
        </w:tc>
      </w:tr>
      <w:tr>
        <w:trPr>
          <w:trHeight w:val="348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1405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2599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Задача. Увеличение доли лиц, мотивированных к ведению здорового образа жизни. </w:t>
            </w:r>
          </w:p>
        </w:tc>
      </w:tr>
      <w:tr>
        <w:trPr>
          <w:trHeight w:val="886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9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Доля граждан в возрасте 3-79 лет, систематически занимающихся физической культурой и спортом в общей численности граждан в возрасте 3-79 лет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Процентов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2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lang w:eastAsia="ru-RU"/>
              </w:rPr>
              <w:t>47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lang w:eastAsia="ru-RU"/>
              </w:rPr>
              <w:t xml:space="preserve">51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lang w:eastAsia="ru-RU"/>
              </w:rPr>
              <w:t xml:space="preserve">53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</w:tr>
      <w:tr>
        <w:trPr>
          <w:trHeight w:val="624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1405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325" w:right="2927" w:hanging="975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Задача. Реализация мероприятий, направленных на укрепление общественного здоровья и профилактику неинфекционных заболеваний на территории района </w:t>
            </w:r>
          </w:p>
        </w:tc>
      </w:tr>
      <w:tr>
        <w:trPr>
          <w:trHeight w:val="1114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Увеличение доли граждан, охваченных профилактическими мероприяти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ями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, направленными на укрепление общественного здоровья, профилактику неинфекционных заболеваний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Единиц</w:t>
            </w:r>
            <w:r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1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55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60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>
        <w:trPr>
          <w:trHeight w:val="6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lang w:eastAsia="ru-RU"/>
              </w:rPr>
            </w:r>
          </w:p>
        </w:tc>
        <w:tc>
          <w:tcPr>
            <w:tcW w:w="1405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197" w:right="1128" w:hanging="989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Задача. Повышение информированности населения в вопросах профилактики хронических неинфекционных заболеваний и формирования здорового образа жизни </w:t>
            </w:r>
          </w:p>
        </w:tc>
      </w:tr>
      <w:tr>
        <w:trPr>
          <w:trHeight w:val="1152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2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Количество публикаций в СМИ и информационно телекоммуникационная сеть «Интернет», направленных на формирование системы мотивации граждан к ЗОЖ, включая здоровое питание и отказ от вредных привычек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Единиц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2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180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250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>
        <w:trPr>
          <w:trHeight w:val="550" w:hRule="atLeast"/>
        </w:trPr>
        <w:tc>
          <w:tcPr>
            <w:tcW w:w="14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Задача.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Увеличение доли лиц, мотивированных к ведению здорового образа жизни.</w:t>
            </w:r>
          </w:p>
          <w:p>
            <w:pPr>
              <w:pStyle w:val="Normal"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</w:r>
          </w:p>
        </w:tc>
      </w:tr>
      <w:tr>
        <w:trPr>
          <w:trHeight w:val="1152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2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Темпы прироста первичной заболеваемости ожирением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6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процент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2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58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r>
        <w:br w:type="page"/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3 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Аргаяшского муниципального района </w:t>
      </w:r>
    </w:p>
    <w:p>
      <w:pPr>
        <w:pStyle w:val="NoSpacing"/>
        <w:ind w:left="10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«Укрепление общественного здоровья  </w:t>
      </w:r>
    </w:p>
    <w:p>
      <w:pPr>
        <w:pStyle w:val="NoSpacing"/>
        <w:ind w:left="10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территории Аргаяшского  муниципального района  </w:t>
      </w:r>
    </w:p>
    <w:p>
      <w:pPr>
        <w:pStyle w:val="NoSpacing"/>
        <w:ind w:left="10" w:hanging="0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области»</w:t>
      </w:r>
    </w:p>
    <w:p>
      <w:pPr>
        <w:pStyle w:val="NoSpacing"/>
        <w:ind w:left="1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64" w:before="0" w:after="14"/>
        <w:ind w:right="-3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Обоснование состава и значений</w:t>
      </w:r>
    </w:p>
    <w:p>
      <w:pPr>
        <w:pStyle w:val="Normal"/>
        <w:spacing w:lineRule="auto" w:line="264" w:before="0" w:after="14"/>
        <w:ind w:left="-15" w:right="-30" w:firstLine="7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целевых показателей (индикаторов) муниципальной программы, методика их расчета,  источники получения и оценки влияния внешних факторов и условий на их достижение</w:t>
      </w:r>
    </w:p>
    <w:p>
      <w:pPr>
        <w:pStyle w:val="Normal"/>
        <w:spacing w:before="0" w:after="0"/>
        <w:ind w:left="5281" w:hanging="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877" w:type="dxa"/>
        <w:jc w:val="left"/>
        <w:tblInd w:w="-1281" w:type="dxa"/>
        <w:tblCellMar>
          <w:top w:w="7" w:type="dxa"/>
          <w:left w:w="108" w:type="dxa"/>
          <w:bottom w:w="0" w:type="dxa"/>
          <w:right w:w="46" w:type="dxa"/>
        </w:tblCellMar>
        <w:tblLook w:val="04a0" w:noVBand="1" w:noHBand="0" w:lastColumn="0" w:firstColumn="1" w:lastRow="0" w:firstRow="1"/>
      </w:tblPr>
      <w:tblGrid>
        <w:gridCol w:w="709"/>
        <w:gridCol w:w="3118"/>
        <w:gridCol w:w="3260"/>
        <w:gridCol w:w="3120"/>
        <w:gridCol w:w="2669"/>
        <w:gridCol w:w="3000"/>
      </w:tblGrid>
      <w:tr>
        <w:trPr>
          <w:trHeight w:val="89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"/>
              <w:ind w:left="60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ind w:left="12" w:hanging="0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п/п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Наименование показателей (индикаторов)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Обоснование состава и значений показателей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(индикаторов)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Методика расчета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Источники получения информации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Оценка влияния факторов  и условий на достижение показателей (индикаторов) </w:t>
            </w:r>
          </w:p>
        </w:tc>
      </w:tr>
      <w:tr>
        <w:trPr>
          <w:trHeight w:val="22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Доля граждан в возрасте 3-79 лет, систематически занимающихся физической культурой и спортом в общей численности граждан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в возрасте 3-79 лет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Показатель характеризует количество граждан 3-79 лет систематически занимающихся физической культурой и спортом к общей численности </w:t>
            </w:r>
          </w:p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 xml:space="preserve">граждан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рассчитывается путем </w:t>
              <w:tab/>
              <w:t xml:space="preserve">анализа статистической информации о количество граждан 3-79 лет систематически занимающихся физической культурой и спортом за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отчетный год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Статистическая информация Комитет по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ФКСТиМП по  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итогам года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Внешние риски- социально-экономические (осложнение социально-экономической обстановки в районе, формальная организация работы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(человеческий фактор).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Уменьшение финансирования </w:t>
            </w:r>
          </w:p>
        </w:tc>
      </w:tr>
      <w:tr>
        <w:trPr>
          <w:trHeight w:val="295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2.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Увеличение доли граждан, охваченных профилактическими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мероприятий,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направленными </w:t>
              <w:tab/>
              <w:t xml:space="preserve">на укрепление общественного здоровья, </w:t>
              <w:tab/>
              <w:t xml:space="preserve">профилактику неинфекционных заболеваний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характеризует долю граждан, охваченных профилактическими мероприятий, направленными на укрепление общественного здоровья, профилактику неинфекционных заболеваний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рассчитывается путем анализа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статистической информации по количеству граждан, охваченных профилактическими мероприятий, направленными на укрепление общественного здоровья, профилактику неинфекционных заболеваний к общему граждан в районе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Статистическая информация учреждений системы профилактики по  итогам года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Формальная организация работы (человеческий фактор). Внешние риски- социально-экономические (осложнение социально-экономической обстановки в районе </w:t>
            </w:r>
          </w:p>
        </w:tc>
      </w:tr>
      <w:tr>
        <w:trPr>
          <w:trHeight w:val="304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Количество публикаций в СМИ и информационно телекоммуникационной </w:t>
            </w:r>
          </w:p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сеть «Интернет», направленных на формирование системы мотивации граждан к ЗОЖ, включая здоровое питание и отказ от вредных </w:t>
            </w:r>
          </w:p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привычек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характеризует количество публикаций в СМИ и информационно телекоммуникационная сеть «Интернет», направленных на  формирование системы мотивации граждан к ЗОЖ, включая здоровое питание и отказ от вредных привычек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рассчитывается путем анализа статистической информации о количестве публикаций в СМИ и информационно телекоммуникационная сеть «Интернет», направленных на формирование системы мотивации граждан к ЗОЖ, включая здоровое питание и отказ от вредных привычек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Статистическая информация редакции газеты </w:t>
            </w:r>
          </w:p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«Восход» по   итогам года. Мониторинг сайтов и социальных сетей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Внешние риски- социально-экономические (осложнение социально-экономической обстановки в районе, уменьшение подписки на газету, отсутствие интереса к СМИ). Формальная организация работы (человеческий фактор). </w:t>
            </w:r>
          </w:p>
        </w:tc>
      </w:tr>
      <w:tr>
        <w:trPr>
          <w:trHeight w:val="304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sz w:val="22"/>
              </w:rPr>
            </w:pPr>
            <w:r>
              <w:rPr>
                <w:sz w:val="22"/>
              </w:rPr>
              <w:t>Темпы прироста первичной заболеваемости ожирением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Показатель характеризует снижение числа случаев первичной заболеваемости ожирением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Показатель рассчитывается как соотношение числа случаев первичной заболеваемости ожирением за исследуемый и базовый периоды (%)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Статистическая информация учреждений здравоохранения по  итогам года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Формальная организация работы (человеческий фактор). Внешние риски- социально-экономические (осложнение социально-экономической обстановки в районе</w:t>
            </w:r>
          </w:p>
        </w:tc>
      </w:tr>
    </w:tbl>
    <w:p>
      <w:pPr>
        <w:pStyle w:val="1"/>
        <w:rPr/>
      </w:pPr>
      <w:r>
        <w:rPr/>
      </w:r>
    </w:p>
    <w:sectPr>
      <w:type w:val="nextPage"/>
      <w:pgSz w:orient="landscape" w:w="16838" w:h="11906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fc6af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c6af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8178c0"/>
    <w:pPr>
      <w:widowControl/>
      <w:bidi w:val="0"/>
      <w:spacing w:lineRule="auto" w:line="240" w:before="0" w:after="0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Style18" w:customStyle="1">
    <w:name w:val="Знак"/>
    <w:basedOn w:val="Normal"/>
    <w:qFormat/>
    <w:rsid w:val="00003cff"/>
    <w:pPr>
      <w:widowControl w:val="false"/>
      <w:spacing w:lineRule="exact" w:line="240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78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b31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rsid w:val="002352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Application>LibreOffice/6.4.7.2$Linux_X86_64 LibreOffice_project/40$Build-2</Application>
  <Pages>10</Pages>
  <Words>2651</Words>
  <Characters>15112</Characters>
  <CharactersWithSpaces>17728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2021-10-30T16:15:00Z</dcterms:created>
  <dc:creator>Людмила Геннадьевна</dc:creator>
  <dc:description/>
  <dc:language>ru-RU</dc:language>
  <cp:lastModifiedBy/>
  <dcterms:modified xsi:type="dcterms:W3CDTF">2023-03-21T09:53:40Z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