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BD" w:rsidRPr="005220E3" w:rsidRDefault="00A379BD" w:rsidP="00A379BD">
      <w:pPr>
        <w:widowControl w:val="0"/>
        <w:autoSpaceDE w:val="0"/>
        <w:autoSpaceDN w:val="0"/>
        <w:adjustRightInd w:val="0"/>
        <w:jc w:val="center"/>
        <w:rPr>
          <w:b/>
          <w:sz w:val="28"/>
          <w:szCs w:val="28"/>
        </w:rPr>
      </w:pPr>
      <w:r w:rsidRPr="005220E3">
        <w:rPr>
          <w:noProof/>
          <w:sz w:val="28"/>
          <w:szCs w:val="28"/>
        </w:rPr>
        <w:drawing>
          <wp:inline distT="0" distB="0" distL="0" distR="0">
            <wp:extent cx="609600" cy="755904"/>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48000"/>
                    </a:blip>
                    <a:srcRect/>
                    <a:stretch>
                      <a:fillRect/>
                    </a:stretch>
                  </pic:blipFill>
                  <pic:spPr bwMode="auto">
                    <a:xfrm>
                      <a:off x="0" y="0"/>
                      <a:ext cx="609600" cy="755904"/>
                    </a:xfrm>
                    <a:prstGeom prst="rect">
                      <a:avLst/>
                    </a:prstGeom>
                    <a:noFill/>
                    <a:ln w="9525">
                      <a:noFill/>
                      <a:miter lim="800000"/>
                      <a:headEnd/>
                      <a:tailEnd/>
                    </a:ln>
                  </pic:spPr>
                </pic:pic>
              </a:graphicData>
            </a:graphic>
          </wp:inline>
        </w:drawing>
      </w:r>
    </w:p>
    <w:p w:rsidR="00A379BD" w:rsidRDefault="00A379BD" w:rsidP="00A379BD">
      <w:pPr>
        <w:widowControl w:val="0"/>
        <w:autoSpaceDE w:val="0"/>
        <w:autoSpaceDN w:val="0"/>
        <w:adjustRightInd w:val="0"/>
        <w:jc w:val="center"/>
        <w:rPr>
          <w:b/>
          <w:sz w:val="28"/>
          <w:szCs w:val="28"/>
        </w:rPr>
      </w:pPr>
      <w:r>
        <w:rPr>
          <w:b/>
          <w:sz w:val="28"/>
          <w:szCs w:val="28"/>
        </w:rPr>
        <w:t xml:space="preserve"> </w:t>
      </w:r>
      <w:r w:rsidRPr="005220E3">
        <w:rPr>
          <w:b/>
          <w:sz w:val="28"/>
          <w:szCs w:val="28"/>
        </w:rPr>
        <w:t>ЧЕЛЯБИНСКАЯ ОБЛАСТЬ</w:t>
      </w:r>
    </w:p>
    <w:p w:rsidR="002C238D" w:rsidRPr="005220E3" w:rsidRDefault="002C238D" w:rsidP="00A379BD">
      <w:pPr>
        <w:widowControl w:val="0"/>
        <w:autoSpaceDE w:val="0"/>
        <w:autoSpaceDN w:val="0"/>
        <w:adjustRightInd w:val="0"/>
        <w:jc w:val="center"/>
        <w:rPr>
          <w:b/>
          <w:sz w:val="28"/>
          <w:szCs w:val="28"/>
        </w:rPr>
      </w:pPr>
    </w:p>
    <w:p w:rsidR="00A379BD" w:rsidRPr="005220E3" w:rsidRDefault="00A379BD" w:rsidP="00A379BD">
      <w:pPr>
        <w:pStyle w:val="4"/>
        <w:rPr>
          <w:sz w:val="28"/>
          <w:szCs w:val="28"/>
        </w:rPr>
      </w:pPr>
      <w:r w:rsidRPr="005220E3">
        <w:rPr>
          <w:sz w:val="28"/>
          <w:szCs w:val="28"/>
        </w:rPr>
        <w:t>СОБРАНИЕ ДЕПУТАТОВ</w:t>
      </w:r>
    </w:p>
    <w:p w:rsidR="00A379BD" w:rsidRPr="005220E3" w:rsidRDefault="00A379BD" w:rsidP="00A379BD">
      <w:pPr>
        <w:pStyle w:val="4"/>
        <w:rPr>
          <w:sz w:val="28"/>
          <w:szCs w:val="28"/>
        </w:rPr>
      </w:pPr>
      <w:r w:rsidRPr="005220E3">
        <w:rPr>
          <w:sz w:val="28"/>
          <w:szCs w:val="28"/>
        </w:rPr>
        <w:t>АРГАЯШСКОГО МУНИЦИПАЛЬНОГО РАЙОНА</w:t>
      </w:r>
    </w:p>
    <w:p w:rsidR="00A379BD" w:rsidRDefault="00A379BD" w:rsidP="00A379BD">
      <w:pPr>
        <w:pStyle w:val="3"/>
        <w:ind w:firstLine="540"/>
        <w:rPr>
          <w:b/>
          <w:sz w:val="28"/>
          <w:szCs w:val="28"/>
        </w:rPr>
      </w:pPr>
    </w:p>
    <w:p w:rsidR="00A379BD" w:rsidRPr="005220E3" w:rsidRDefault="00A379BD" w:rsidP="00A379BD">
      <w:pPr>
        <w:pStyle w:val="3"/>
        <w:tabs>
          <w:tab w:val="left" w:pos="709"/>
        </w:tabs>
        <w:rPr>
          <w:b/>
          <w:sz w:val="28"/>
          <w:szCs w:val="28"/>
        </w:rPr>
      </w:pPr>
      <w:r w:rsidRPr="005220E3">
        <w:rPr>
          <w:b/>
          <w:sz w:val="28"/>
          <w:szCs w:val="28"/>
        </w:rPr>
        <w:t>РЕШЕНИЕ</w:t>
      </w:r>
    </w:p>
    <w:p w:rsidR="00A379BD" w:rsidRPr="005652A2" w:rsidRDefault="0023614D" w:rsidP="00A379BD">
      <w:pPr>
        <w:rPr>
          <w:b/>
        </w:rPr>
      </w:pPr>
      <w:r>
        <w:rPr>
          <w:szCs w:val="20"/>
          <w:lang w:eastAsia="en-US"/>
        </w:rPr>
        <w:pict>
          <v:line id="_x0000_s1026" style="position:absolute;z-index:251660288" from="-13.05pt,6.75pt" to="478.2pt,6.75pt" o:allowincell="f" strokeweight="4.5pt">
            <v:stroke linestyle="thinThick"/>
          </v:line>
        </w:pict>
      </w:r>
    </w:p>
    <w:p w:rsidR="00675ECE" w:rsidRPr="00675ECE" w:rsidRDefault="00675ECE" w:rsidP="00101334">
      <w:pPr>
        <w:widowControl w:val="0"/>
        <w:tabs>
          <w:tab w:val="left" w:pos="8236"/>
          <w:tab w:val="left" w:pos="8378"/>
        </w:tabs>
        <w:autoSpaceDE w:val="0"/>
        <w:autoSpaceDN w:val="0"/>
        <w:adjustRightInd w:val="0"/>
      </w:pPr>
    </w:p>
    <w:p w:rsidR="00101334" w:rsidRDefault="00101334" w:rsidP="00101334">
      <w:pPr>
        <w:widowControl w:val="0"/>
        <w:tabs>
          <w:tab w:val="left" w:pos="8236"/>
          <w:tab w:val="left" w:pos="8378"/>
        </w:tabs>
        <w:autoSpaceDE w:val="0"/>
        <w:autoSpaceDN w:val="0"/>
        <w:adjustRightInd w:val="0"/>
        <w:rPr>
          <w:sz w:val="28"/>
          <w:szCs w:val="28"/>
        </w:rPr>
      </w:pPr>
      <w:r w:rsidRPr="00101334">
        <w:rPr>
          <w:sz w:val="28"/>
          <w:szCs w:val="28"/>
        </w:rPr>
        <w:t>24 ноября 2021 г.  № 17</w:t>
      </w:r>
      <w:r>
        <w:rPr>
          <w:sz w:val="28"/>
          <w:szCs w:val="28"/>
        </w:rPr>
        <w:t>6</w:t>
      </w:r>
    </w:p>
    <w:p w:rsidR="00595467" w:rsidRPr="00675ECE" w:rsidRDefault="00595467" w:rsidP="00595467">
      <w:pPr>
        <w:jc w:val="both"/>
      </w:pPr>
    </w:p>
    <w:tbl>
      <w:tblPr>
        <w:tblW w:w="0" w:type="auto"/>
        <w:tblInd w:w="-48" w:type="dxa"/>
        <w:tblLook w:val="0000" w:firstRow="0" w:lastRow="0" w:firstColumn="0" w:lastColumn="0" w:noHBand="0" w:noVBand="0"/>
      </w:tblPr>
      <w:tblGrid>
        <w:gridCol w:w="4772"/>
      </w:tblGrid>
      <w:tr w:rsidR="00595467" w:rsidTr="00101334">
        <w:trPr>
          <w:trHeight w:val="1305"/>
        </w:trPr>
        <w:tc>
          <w:tcPr>
            <w:tcW w:w="4772" w:type="dxa"/>
          </w:tcPr>
          <w:p w:rsidR="00595467" w:rsidRDefault="00551B1C" w:rsidP="00170F73">
            <w:pPr>
              <w:pStyle w:val="ac"/>
              <w:jc w:val="both"/>
            </w:pPr>
            <w:r w:rsidRPr="00551B1C">
              <w:rPr>
                <w:sz w:val="28"/>
                <w:szCs w:val="28"/>
              </w:rPr>
              <w:t xml:space="preserve">О </w:t>
            </w:r>
            <w:r w:rsidR="00170F73">
              <w:rPr>
                <w:sz w:val="28"/>
                <w:szCs w:val="28"/>
              </w:rPr>
              <w:t>согласовании перечня имущества передаваемого из государственной собственности Челябинской области в муниципальную собственность Аргаяшского района</w:t>
            </w:r>
          </w:p>
        </w:tc>
      </w:tr>
    </w:tbl>
    <w:p w:rsidR="00A379BD" w:rsidRPr="00675ECE" w:rsidRDefault="00A379BD" w:rsidP="00A379BD"/>
    <w:p w:rsidR="00A379BD" w:rsidRPr="006D0338" w:rsidRDefault="00170F73" w:rsidP="00170F73">
      <w:pPr>
        <w:pStyle w:val="ac"/>
        <w:spacing w:line="276" w:lineRule="auto"/>
        <w:ind w:firstLine="540"/>
        <w:jc w:val="both"/>
      </w:pPr>
      <w:proofErr w:type="gramStart"/>
      <w:r>
        <w:rPr>
          <w:sz w:val="28"/>
          <w:szCs w:val="28"/>
        </w:rPr>
        <w:t>Н</w:t>
      </w:r>
      <w:r w:rsidRPr="00551B1C">
        <w:rPr>
          <w:sz w:val="28"/>
          <w:szCs w:val="28"/>
        </w:rPr>
        <w:t>а основании Федерального закона от 06.10.2003 №</w:t>
      </w:r>
      <w:r>
        <w:rPr>
          <w:sz w:val="28"/>
          <w:szCs w:val="28"/>
        </w:rPr>
        <w:t xml:space="preserve"> </w:t>
      </w:r>
      <w:r w:rsidRPr="00551B1C">
        <w:rPr>
          <w:sz w:val="28"/>
          <w:szCs w:val="28"/>
        </w:rPr>
        <w:t>131-Ф3 «Об общих принципах организации местного самоуправления в Российской Федерации»</w:t>
      </w:r>
      <w:r>
        <w:rPr>
          <w:sz w:val="28"/>
          <w:szCs w:val="28"/>
        </w:rPr>
        <w:t>, в</w:t>
      </w:r>
      <w:r w:rsidR="00551B1C" w:rsidRPr="00551B1C">
        <w:rPr>
          <w:sz w:val="28"/>
          <w:szCs w:val="28"/>
        </w:rPr>
        <w:t xml:space="preserve"> соответствии с Постановлением Правительства РФ от 13</w:t>
      </w:r>
      <w:r w:rsidR="00675ECE">
        <w:rPr>
          <w:sz w:val="28"/>
          <w:szCs w:val="28"/>
        </w:rPr>
        <w:t>.06.</w:t>
      </w:r>
      <w:r w:rsidR="00551B1C" w:rsidRPr="00551B1C">
        <w:rPr>
          <w:sz w:val="28"/>
          <w:szCs w:val="28"/>
        </w:rPr>
        <w:t xml:space="preserve">2006 </w:t>
      </w:r>
      <w:r w:rsidR="00551B1C">
        <w:rPr>
          <w:sz w:val="28"/>
          <w:szCs w:val="28"/>
        </w:rPr>
        <w:t>№</w:t>
      </w:r>
      <w:r w:rsidR="00551B1C" w:rsidRPr="00551B1C">
        <w:rPr>
          <w:sz w:val="28"/>
          <w:szCs w:val="28"/>
        </w:rPr>
        <w:t xml:space="preserve"> 374 </w:t>
      </w:r>
      <w:r w:rsidR="00551B1C">
        <w:rPr>
          <w:sz w:val="28"/>
          <w:szCs w:val="28"/>
        </w:rPr>
        <w:t>«</w:t>
      </w:r>
      <w:r w:rsidR="00551B1C" w:rsidRPr="00551B1C">
        <w:rPr>
          <w:sz w:val="28"/>
          <w:szCs w:val="28"/>
        </w:rPr>
        <w:t>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w:t>
      </w:r>
      <w:proofErr w:type="gramEnd"/>
      <w:r w:rsidR="00551B1C" w:rsidRPr="00551B1C">
        <w:rPr>
          <w:sz w:val="28"/>
          <w:szCs w:val="28"/>
        </w:rPr>
        <w:t xml:space="preserve"> в федеральную собственность или собственность субъекта Российской Федерации</w:t>
      </w:r>
      <w:r w:rsidR="00551B1C">
        <w:rPr>
          <w:sz w:val="28"/>
          <w:szCs w:val="28"/>
        </w:rPr>
        <w:t>»</w:t>
      </w:r>
    </w:p>
    <w:p w:rsidR="00A379BD" w:rsidRPr="00675ECE" w:rsidRDefault="00A379BD" w:rsidP="00A379BD">
      <w:pPr>
        <w:tabs>
          <w:tab w:val="left" w:pos="709"/>
        </w:tabs>
        <w:autoSpaceDE w:val="0"/>
        <w:autoSpaceDN w:val="0"/>
        <w:ind w:firstLine="540"/>
        <w:jc w:val="both"/>
      </w:pPr>
    </w:p>
    <w:p w:rsidR="00A379BD" w:rsidRDefault="00A379BD" w:rsidP="00170F73">
      <w:pPr>
        <w:tabs>
          <w:tab w:val="left" w:pos="709"/>
        </w:tabs>
        <w:autoSpaceDE w:val="0"/>
        <w:autoSpaceDN w:val="0"/>
        <w:jc w:val="center"/>
        <w:rPr>
          <w:sz w:val="28"/>
          <w:szCs w:val="28"/>
        </w:rPr>
      </w:pPr>
      <w:r w:rsidRPr="006D0338">
        <w:rPr>
          <w:sz w:val="28"/>
          <w:szCs w:val="28"/>
        </w:rPr>
        <w:t>Собрание депутатов Аргаяшского муниципального района РЕШАЕТ:</w:t>
      </w:r>
    </w:p>
    <w:p w:rsidR="00551B1C" w:rsidRPr="00675ECE" w:rsidRDefault="00551B1C" w:rsidP="00551B1C">
      <w:pPr>
        <w:tabs>
          <w:tab w:val="left" w:pos="709"/>
        </w:tabs>
        <w:autoSpaceDE w:val="0"/>
        <w:autoSpaceDN w:val="0"/>
        <w:ind w:firstLine="540"/>
        <w:jc w:val="both"/>
      </w:pPr>
    </w:p>
    <w:p w:rsidR="00170F73" w:rsidRPr="00675ECE" w:rsidRDefault="00170F73" w:rsidP="00675ECE">
      <w:pPr>
        <w:spacing w:line="276" w:lineRule="auto"/>
        <w:ind w:firstLine="567"/>
        <w:jc w:val="both"/>
        <w:rPr>
          <w:sz w:val="28"/>
          <w:szCs w:val="28"/>
        </w:rPr>
      </w:pPr>
      <w:r w:rsidRPr="00675ECE">
        <w:rPr>
          <w:sz w:val="28"/>
          <w:szCs w:val="28"/>
        </w:rPr>
        <w:t>1. Согласовать перечень имущества, передаваемого из государственной собственности Челябинской области в муниципальную собственность Аргаяшского муниципального района, согласно приложению.</w:t>
      </w:r>
    </w:p>
    <w:p w:rsidR="008A6771" w:rsidRPr="00675ECE" w:rsidRDefault="00675ECE" w:rsidP="00675ECE">
      <w:pPr>
        <w:spacing w:line="276" w:lineRule="auto"/>
        <w:ind w:firstLine="567"/>
        <w:jc w:val="both"/>
        <w:rPr>
          <w:sz w:val="28"/>
          <w:szCs w:val="28"/>
        </w:rPr>
      </w:pPr>
      <w:r w:rsidRPr="00675ECE">
        <w:rPr>
          <w:sz w:val="28"/>
          <w:szCs w:val="28"/>
        </w:rPr>
        <w:t>2</w:t>
      </w:r>
      <w:r w:rsidR="00A379BD" w:rsidRPr="00675ECE">
        <w:rPr>
          <w:sz w:val="28"/>
          <w:szCs w:val="28"/>
        </w:rPr>
        <w:t>. Комитету по управлению имуществом и земельным отношениям Аргаяшского муниципального района (Косарев С.В.) обеспечить приём указанного имущества в собственность Аргаяшского муниципального района с оформлением соответствующих документов.</w:t>
      </w:r>
      <w:r w:rsidRPr="00675ECE">
        <w:rPr>
          <w:sz w:val="28"/>
          <w:szCs w:val="28"/>
        </w:rPr>
        <w:t xml:space="preserve"> </w:t>
      </w:r>
    </w:p>
    <w:p w:rsidR="00595467" w:rsidRPr="00675ECE" w:rsidRDefault="00675ECE" w:rsidP="00675ECE">
      <w:pPr>
        <w:spacing w:line="276" w:lineRule="auto"/>
        <w:ind w:firstLine="567"/>
        <w:jc w:val="both"/>
        <w:rPr>
          <w:sz w:val="28"/>
          <w:szCs w:val="28"/>
        </w:rPr>
      </w:pPr>
      <w:r w:rsidRPr="00675ECE">
        <w:rPr>
          <w:sz w:val="28"/>
          <w:szCs w:val="28"/>
        </w:rPr>
        <w:t>3</w:t>
      </w:r>
      <w:r w:rsidR="00595467" w:rsidRPr="00675ECE">
        <w:rPr>
          <w:sz w:val="28"/>
          <w:szCs w:val="28"/>
        </w:rPr>
        <w:t>. Настоящее решение вступает в силу со дня подписания.</w:t>
      </w:r>
    </w:p>
    <w:p w:rsidR="00A379BD" w:rsidRDefault="00A379BD" w:rsidP="00A379BD">
      <w:pPr>
        <w:autoSpaceDE w:val="0"/>
        <w:autoSpaceDN w:val="0"/>
        <w:ind w:firstLine="709"/>
        <w:jc w:val="both"/>
        <w:rPr>
          <w:sz w:val="28"/>
          <w:szCs w:val="28"/>
        </w:rPr>
      </w:pPr>
    </w:p>
    <w:p w:rsidR="00A379BD" w:rsidRPr="00AB4D66" w:rsidRDefault="00A379BD" w:rsidP="00A379BD">
      <w:pPr>
        <w:autoSpaceDE w:val="0"/>
        <w:autoSpaceDN w:val="0"/>
        <w:ind w:firstLine="709"/>
        <w:jc w:val="both"/>
        <w:rPr>
          <w:sz w:val="20"/>
          <w:szCs w:val="20"/>
        </w:rPr>
      </w:pPr>
    </w:p>
    <w:p w:rsidR="00432881" w:rsidRDefault="00432881" w:rsidP="00733B3B">
      <w:pPr>
        <w:pStyle w:val="21"/>
        <w:spacing w:after="0" w:line="240" w:lineRule="auto"/>
        <w:ind w:left="0"/>
        <w:rPr>
          <w:sz w:val="28"/>
          <w:szCs w:val="28"/>
        </w:rPr>
      </w:pPr>
      <w:r w:rsidRPr="009E3C84">
        <w:rPr>
          <w:color w:val="000000"/>
          <w:sz w:val="28"/>
          <w:szCs w:val="28"/>
        </w:rPr>
        <w:t>Председатель</w:t>
      </w:r>
      <w:r w:rsidRPr="000D6310">
        <w:rPr>
          <w:color w:val="000000"/>
          <w:sz w:val="28"/>
          <w:szCs w:val="28"/>
        </w:rPr>
        <w:t xml:space="preserve"> </w:t>
      </w:r>
      <w:r w:rsidRPr="009E3C84">
        <w:rPr>
          <w:color w:val="000000"/>
          <w:sz w:val="28"/>
          <w:szCs w:val="28"/>
        </w:rPr>
        <w:t>Собрания депутатов</w:t>
      </w:r>
      <w:r w:rsidRPr="00992E7A">
        <w:rPr>
          <w:sz w:val="28"/>
          <w:szCs w:val="28"/>
        </w:rPr>
        <w:t xml:space="preserve"> </w:t>
      </w:r>
    </w:p>
    <w:p w:rsidR="00432881" w:rsidRDefault="00432881" w:rsidP="00733B3B">
      <w:pPr>
        <w:pStyle w:val="21"/>
        <w:spacing w:after="0" w:line="240" w:lineRule="auto"/>
        <w:ind w:left="0"/>
        <w:rPr>
          <w:sz w:val="28"/>
          <w:szCs w:val="28"/>
        </w:rPr>
      </w:pPr>
      <w:r>
        <w:rPr>
          <w:sz w:val="28"/>
          <w:szCs w:val="28"/>
        </w:rPr>
        <w:t xml:space="preserve">Аргаяшского муниципального </w:t>
      </w:r>
      <w:r w:rsidRPr="000D6310">
        <w:rPr>
          <w:sz w:val="28"/>
          <w:szCs w:val="28"/>
        </w:rPr>
        <w:t>района</w:t>
      </w:r>
      <w:r w:rsidRPr="009E3C84">
        <w:rPr>
          <w:color w:val="000000"/>
          <w:sz w:val="28"/>
          <w:szCs w:val="28"/>
        </w:rPr>
        <w:t xml:space="preserve">      </w:t>
      </w:r>
      <w:r>
        <w:rPr>
          <w:color w:val="000000"/>
          <w:sz w:val="28"/>
          <w:szCs w:val="28"/>
        </w:rPr>
        <w:t xml:space="preserve">                                          Л.Ф. Юсупова</w:t>
      </w:r>
    </w:p>
    <w:p w:rsidR="00A379BD" w:rsidRPr="00606507" w:rsidRDefault="00A379BD" w:rsidP="00733B3B">
      <w:pPr>
        <w:tabs>
          <w:tab w:val="num" w:pos="-180"/>
          <w:tab w:val="left" w:pos="1080"/>
          <w:tab w:val="left" w:pos="1260"/>
        </w:tabs>
        <w:jc w:val="both"/>
        <w:rPr>
          <w:sz w:val="28"/>
          <w:szCs w:val="28"/>
        </w:rPr>
      </w:pPr>
    </w:p>
    <w:p w:rsidR="00A379BD" w:rsidRPr="00606507" w:rsidRDefault="00A379BD" w:rsidP="00733B3B">
      <w:pPr>
        <w:rPr>
          <w:sz w:val="28"/>
          <w:szCs w:val="28"/>
        </w:rPr>
      </w:pPr>
      <w:r w:rsidRPr="00606507">
        <w:rPr>
          <w:sz w:val="28"/>
          <w:szCs w:val="28"/>
        </w:rPr>
        <w:t>Глава Аргаяшского</w:t>
      </w:r>
    </w:p>
    <w:p w:rsidR="00A379BD" w:rsidRPr="00606507" w:rsidRDefault="00A379BD" w:rsidP="00733B3B">
      <w:pPr>
        <w:rPr>
          <w:sz w:val="28"/>
          <w:szCs w:val="28"/>
        </w:rPr>
      </w:pPr>
      <w:r w:rsidRPr="00606507">
        <w:rPr>
          <w:sz w:val="28"/>
          <w:szCs w:val="28"/>
        </w:rPr>
        <w:t>муниципального района                                                                   </w:t>
      </w:r>
      <w:r w:rsidR="0071014A">
        <w:rPr>
          <w:sz w:val="28"/>
          <w:szCs w:val="28"/>
        </w:rPr>
        <w:t xml:space="preserve">     </w:t>
      </w:r>
      <w:r w:rsidRPr="00606507">
        <w:rPr>
          <w:sz w:val="28"/>
          <w:szCs w:val="28"/>
        </w:rPr>
        <w:t> И.В. Ишимов</w:t>
      </w:r>
    </w:p>
    <w:p w:rsidR="000576CB" w:rsidRDefault="000576CB" w:rsidP="00A379BD">
      <w:pPr>
        <w:rPr>
          <w:sz w:val="28"/>
          <w:szCs w:val="28"/>
        </w:rPr>
        <w:sectPr w:rsidR="000576CB" w:rsidSect="008A6771">
          <w:type w:val="continuous"/>
          <w:pgSz w:w="11906" w:h="16838" w:code="9"/>
          <w:pgMar w:top="284" w:right="567" w:bottom="284" w:left="1701" w:header="0" w:footer="0" w:gutter="0"/>
          <w:cols w:space="708"/>
          <w:docGrid w:linePitch="360"/>
        </w:sectPr>
      </w:pPr>
    </w:p>
    <w:p w:rsidR="000576CB" w:rsidRDefault="000576CB" w:rsidP="000576CB">
      <w:pPr>
        <w:tabs>
          <w:tab w:val="left" w:pos="0"/>
        </w:tabs>
        <w:jc w:val="center"/>
        <w:rPr>
          <w:sz w:val="26"/>
          <w:szCs w:val="26"/>
        </w:rPr>
      </w:pPr>
    </w:p>
    <w:p w:rsidR="00675ECE" w:rsidRDefault="00675ECE" w:rsidP="000576CB">
      <w:pPr>
        <w:tabs>
          <w:tab w:val="left" w:pos="0"/>
        </w:tabs>
        <w:jc w:val="center"/>
        <w:rPr>
          <w:sz w:val="26"/>
          <w:szCs w:val="26"/>
        </w:rPr>
      </w:pPr>
    </w:p>
    <w:tbl>
      <w:tblPr>
        <w:tblStyle w:val="ad"/>
        <w:tblW w:w="0" w:type="auto"/>
        <w:tblInd w:w="10598" w:type="dxa"/>
        <w:tblLook w:val="04A0" w:firstRow="1" w:lastRow="0" w:firstColumn="1" w:lastColumn="0" w:noHBand="0" w:noVBand="1"/>
      </w:tblPr>
      <w:tblGrid>
        <w:gridCol w:w="4188"/>
      </w:tblGrid>
      <w:tr w:rsidR="00675ECE" w:rsidTr="00675ECE">
        <w:tc>
          <w:tcPr>
            <w:tcW w:w="4188" w:type="dxa"/>
            <w:tcBorders>
              <w:top w:val="nil"/>
              <w:left w:val="nil"/>
              <w:bottom w:val="nil"/>
              <w:right w:val="nil"/>
            </w:tcBorders>
          </w:tcPr>
          <w:p w:rsidR="00675ECE" w:rsidRPr="00675ECE" w:rsidRDefault="00675ECE" w:rsidP="000576CB">
            <w:pPr>
              <w:tabs>
                <w:tab w:val="left" w:pos="0"/>
              </w:tabs>
              <w:jc w:val="center"/>
              <w:rPr>
                <w:sz w:val="20"/>
                <w:szCs w:val="20"/>
              </w:rPr>
            </w:pPr>
            <w:r w:rsidRPr="00675ECE">
              <w:rPr>
                <w:sz w:val="20"/>
                <w:szCs w:val="20"/>
              </w:rPr>
              <w:t>Приложение</w:t>
            </w:r>
          </w:p>
          <w:p w:rsidR="00675ECE" w:rsidRDefault="00675ECE" w:rsidP="000576CB">
            <w:pPr>
              <w:tabs>
                <w:tab w:val="left" w:pos="0"/>
              </w:tabs>
              <w:jc w:val="center"/>
              <w:rPr>
                <w:sz w:val="20"/>
                <w:szCs w:val="20"/>
              </w:rPr>
            </w:pPr>
            <w:r w:rsidRPr="00675ECE">
              <w:rPr>
                <w:sz w:val="20"/>
                <w:szCs w:val="20"/>
              </w:rPr>
              <w:t xml:space="preserve"> к решению Собрания депутатов</w:t>
            </w:r>
          </w:p>
          <w:p w:rsidR="00675ECE" w:rsidRDefault="00675ECE" w:rsidP="000576CB">
            <w:pPr>
              <w:tabs>
                <w:tab w:val="left" w:pos="0"/>
              </w:tabs>
              <w:jc w:val="center"/>
              <w:rPr>
                <w:sz w:val="20"/>
                <w:szCs w:val="20"/>
              </w:rPr>
            </w:pPr>
            <w:r w:rsidRPr="00675ECE">
              <w:rPr>
                <w:sz w:val="20"/>
                <w:szCs w:val="20"/>
              </w:rPr>
              <w:t xml:space="preserve"> Аргаяшского муниципального района</w:t>
            </w:r>
          </w:p>
          <w:p w:rsidR="00675ECE" w:rsidRDefault="00675ECE" w:rsidP="000576CB">
            <w:pPr>
              <w:tabs>
                <w:tab w:val="left" w:pos="0"/>
              </w:tabs>
              <w:jc w:val="center"/>
              <w:rPr>
                <w:sz w:val="26"/>
                <w:szCs w:val="26"/>
              </w:rPr>
            </w:pPr>
            <w:r>
              <w:rPr>
                <w:sz w:val="20"/>
                <w:szCs w:val="20"/>
              </w:rPr>
              <w:t>от 24 ноября 2021 г. № 176</w:t>
            </w:r>
          </w:p>
        </w:tc>
      </w:tr>
    </w:tbl>
    <w:p w:rsidR="000576CB" w:rsidRDefault="000576CB" w:rsidP="000576CB">
      <w:pPr>
        <w:tabs>
          <w:tab w:val="left" w:pos="0"/>
        </w:tabs>
        <w:jc w:val="center"/>
        <w:rPr>
          <w:sz w:val="26"/>
          <w:szCs w:val="26"/>
        </w:rPr>
      </w:pPr>
    </w:p>
    <w:p w:rsidR="00675ECE" w:rsidRDefault="00675ECE" w:rsidP="000576CB">
      <w:pPr>
        <w:tabs>
          <w:tab w:val="left" w:pos="0"/>
        </w:tabs>
        <w:jc w:val="center"/>
        <w:rPr>
          <w:sz w:val="28"/>
          <w:szCs w:val="28"/>
        </w:rPr>
      </w:pPr>
    </w:p>
    <w:p w:rsidR="00170F73" w:rsidRDefault="000576CB" w:rsidP="000576CB">
      <w:pPr>
        <w:tabs>
          <w:tab w:val="left" w:pos="0"/>
        </w:tabs>
        <w:jc w:val="center"/>
        <w:rPr>
          <w:sz w:val="28"/>
          <w:szCs w:val="28"/>
        </w:rPr>
      </w:pPr>
      <w:r w:rsidRPr="000576CB">
        <w:rPr>
          <w:sz w:val="28"/>
          <w:szCs w:val="28"/>
        </w:rPr>
        <w:t xml:space="preserve">Перечень имущества, находящегося в государственной собственности Челябинской области, </w:t>
      </w:r>
    </w:p>
    <w:p w:rsidR="000576CB" w:rsidRPr="000576CB" w:rsidRDefault="000576CB" w:rsidP="000576CB">
      <w:pPr>
        <w:tabs>
          <w:tab w:val="left" w:pos="0"/>
        </w:tabs>
        <w:jc w:val="center"/>
        <w:rPr>
          <w:sz w:val="28"/>
          <w:szCs w:val="28"/>
        </w:rPr>
      </w:pPr>
      <w:r w:rsidRPr="000576CB">
        <w:rPr>
          <w:sz w:val="28"/>
          <w:szCs w:val="28"/>
        </w:rPr>
        <w:t>передаваемого в собственность Ар</w:t>
      </w:r>
      <w:r w:rsidR="00170F73">
        <w:rPr>
          <w:sz w:val="28"/>
          <w:szCs w:val="28"/>
        </w:rPr>
        <w:t>гаяшского муниципального района</w:t>
      </w:r>
    </w:p>
    <w:p w:rsidR="000576CB" w:rsidRDefault="000576CB" w:rsidP="00A379BD">
      <w:pPr>
        <w:rPr>
          <w:sz w:val="28"/>
          <w:szCs w:val="28"/>
        </w:rPr>
      </w:pPr>
    </w:p>
    <w:tbl>
      <w:tblPr>
        <w:tblW w:w="1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2353"/>
        <w:gridCol w:w="2295"/>
        <w:gridCol w:w="1599"/>
        <w:gridCol w:w="2046"/>
        <w:gridCol w:w="3192"/>
        <w:gridCol w:w="2776"/>
      </w:tblGrid>
      <w:tr w:rsidR="000576CB" w:rsidRPr="000576CB" w:rsidTr="000576CB">
        <w:trPr>
          <w:trHeight w:val="4379"/>
        </w:trPr>
        <w:tc>
          <w:tcPr>
            <w:tcW w:w="539" w:type="dxa"/>
          </w:tcPr>
          <w:p w:rsidR="000576CB" w:rsidRPr="000576CB" w:rsidRDefault="000576CB" w:rsidP="00CB1CF1">
            <w:pPr>
              <w:jc w:val="center"/>
            </w:pPr>
            <w:r w:rsidRPr="000576CB">
              <w:br w:type="page"/>
              <w:t>№</w:t>
            </w:r>
          </w:p>
          <w:p w:rsidR="000576CB" w:rsidRPr="000576CB" w:rsidRDefault="000576CB" w:rsidP="00CB1CF1">
            <w:pPr>
              <w:ind w:left="-1225" w:firstLine="110"/>
              <w:jc w:val="center"/>
            </w:pPr>
            <w:proofErr w:type="gramStart"/>
            <w:r w:rsidRPr="000576CB">
              <w:t>п</w:t>
            </w:r>
            <w:proofErr w:type="gramEnd"/>
            <w:r w:rsidRPr="000576CB">
              <w:t>/п</w:t>
            </w:r>
          </w:p>
        </w:tc>
        <w:tc>
          <w:tcPr>
            <w:tcW w:w="2353" w:type="dxa"/>
          </w:tcPr>
          <w:p w:rsidR="000576CB" w:rsidRPr="000576CB" w:rsidRDefault="000576CB" w:rsidP="00CB1CF1">
            <w:pPr>
              <w:jc w:val="center"/>
            </w:pPr>
            <w:r w:rsidRPr="000576CB">
              <w:t>Полное наименование предприятия, учреждения, наименование имущества</w:t>
            </w:r>
          </w:p>
        </w:tc>
        <w:tc>
          <w:tcPr>
            <w:tcW w:w="2295" w:type="dxa"/>
          </w:tcPr>
          <w:p w:rsidR="000576CB" w:rsidRPr="000576CB" w:rsidRDefault="000576CB" w:rsidP="00CB1CF1">
            <w:pPr>
              <w:jc w:val="center"/>
            </w:pPr>
            <w:r w:rsidRPr="000576CB">
              <w:t>Юридический адрес предприятия, учреждения, адрес местонахождения имущества</w:t>
            </w:r>
          </w:p>
        </w:tc>
        <w:tc>
          <w:tcPr>
            <w:tcW w:w="1599" w:type="dxa"/>
          </w:tcPr>
          <w:p w:rsidR="000576CB" w:rsidRPr="000576CB" w:rsidRDefault="000576CB" w:rsidP="00CB1CF1">
            <w:pPr>
              <w:jc w:val="center"/>
            </w:pPr>
            <w:r w:rsidRPr="000576CB">
              <w:t>Балансовая стоимость имущества по состоянию на 01 ноября  2021 года (рублей)</w:t>
            </w:r>
          </w:p>
        </w:tc>
        <w:tc>
          <w:tcPr>
            <w:tcW w:w="2046" w:type="dxa"/>
          </w:tcPr>
          <w:p w:rsidR="000576CB" w:rsidRPr="000576CB" w:rsidRDefault="000576CB" w:rsidP="00CB1CF1">
            <w:pPr>
              <w:jc w:val="center"/>
            </w:pPr>
            <w:r w:rsidRPr="000576CB">
              <w:t>Назначение (специализация) имущества</w:t>
            </w:r>
          </w:p>
        </w:tc>
        <w:tc>
          <w:tcPr>
            <w:tcW w:w="3192" w:type="dxa"/>
          </w:tcPr>
          <w:p w:rsidR="000576CB" w:rsidRPr="000576CB" w:rsidRDefault="000576CB" w:rsidP="00CB1CF1">
            <w:pPr>
              <w:ind w:right="-108"/>
              <w:jc w:val="center"/>
            </w:pPr>
            <w:proofErr w:type="gramStart"/>
            <w:r w:rsidRPr="000576CB">
              <w:t>Индивидуализирующие характеристики имущества (инвентарный номер, кадастровый номер, протяженность, глубина, глубина залегания, площадь, объем, высота, площадь застройки для объектов недвижимости, инвентарный номер, идентификационный номер, модель, номер двигателя, номер шасси для транспортных средств (самоходных машин), инвентарный номер для иного движимого имущества)</w:t>
            </w:r>
            <w:proofErr w:type="gramEnd"/>
          </w:p>
        </w:tc>
        <w:tc>
          <w:tcPr>
            <w:tcW w:w="2776" w:type="dxa"/>
          </w:tcPr>
          <w:p w:rsidR="000576CB" w:rsidRPr="000576CB" w:rsidRDefault="000576CB" w:rsidP="00CB1CF1">
            <w:pPr>
              <w:jc w:val="center"/>
            </w:pPr>
            <w:r w:rsidRPr="000576CB">
              <w:t xml:space="preserve">Основания возникновения права Челябинской области </w:t>
            </w:r>
          </w:p>
        </w:tc>
      </w:tr>
      <w:tr w:rsidR="000576CB" w:rsidRPr="000576CB" w:rsidTr="000576CB">
        <w:trPr>
          <w:trHeight w:val="268"/>
        </w:trPr>
        <w:tc>
          <w:tcPr>
            <w:tcW w:w="539" w:type="dxa"/>
          </w:tcPr>
          <w:p w:rsidR="000576CB" w:rsidRPr="000576CB" w:rsidRDefault="000576CB" w:rsidP="00CB1CF1">
            <w:pPr>
              <w:jc w:val="center"/>
            </w:pPr>
            <w:r w:rsidRPr="000576CB">
              <w:t>1</w:t>
            </w:r>
          </w:p>
        </w:tc>
        <w:tc>
          <w:tcPr>
            <w:tcW w:w="2353" w:type="dxa"/>
          </w:tcPr>
          <w:p w:rsidR="000576CB" w:rsidRPr="000576CB" w:rsidRDefault="000576CB" w:rsidP="00CB1CF1">
            <w:pPr>
              <w:jc w:val="center"/>
            </w:pPr>
            <w:r w:rsidRPr="000576CB">
              <w:t>2</w:t>
            </w:r>
          </w:p>
        </w:tc>
        <w:tc>
          <w:tcPr>
            <w:tcW w:w="2295" w:type="dxa"/>
          </w:tcPr>
          <w:p w:rsidR="000576CB" w:rsidRPr="000576CB" w:rsidRDefault="000576CB" w:rsidP="00CB1CF1">
            <w:pPr>
              <w:jc w:val="center"/>
            </w:pPr>
            <w:r w:rsidRPr="000576CB">
              <w:t>3</w:t>
            </w:r>
          </w:p>
        </w:tc>
        <w:tc>
          <w:tcPr>
            <w:tcW w:w="1599" w:type="dxa"/>
          </w:tcPr>
          <w:p w:rsidR="000576CB" w:rsidRPr="000576CB" w:rsidRDefault="000576CB" w:rsidP="00CB1CF1">
            <w:pPr>
              <w:jc w:val="center"/>
            </w:pPr>
            <w:r w:rsidRPr="000576CB">
              <w:t>4</w:t>
            </w:r>
          </w:p>
        </w:tc>
        <w:tc>
          <w:tcPr>
            <w:tcW w:w="2046" w:type="dxa"/>
          </w:tcPr>
          <w:p w:rsidR="000576CB" w:rsidRPr="000576CB" w:rsidRDefault="000576CB" w:rsidP="00CB1CF1">
            <w:pPr>
              <w:jc w:val="center"/>
            </w:pPr>
            <w:r w:rsidRPr="000576CB">
              <w:t>5</w:t>
            </w:r>
          </w:p>
        </w:tc>
        <w:tc>
          <w:tcPr>
            <w:tcW w:w="3192" w:type="dxa"/>
          </w:tcPr>
          <w:p w:rsidR="000576CB" w:rsidRPr="000576CB" w:rsidRDefault="000576CB" w:rsidP="00CB1CF1">
            <w:pPr>
              <w:ind w:right="-108"/>
              <w:jc w:val="center"/>
            </w:pPr>
            <w:r w:rsidRPr="000576CB">
              <w:t>6</w:t>
            </w:r>
          </w:p>
        </w:tc>
        <w:tc>
          <w:tcPr>
            <w:tcW w:w="2776" w:type="dxa"/>
          </w:tcPr>
          <w:p w:rsidR="000576CB" w:rsidRPr="000576CB" w:rsidRDefault="000576CB" w:rsidP="00CB1CF1">
            <w:pPr>
              <w:jc w:val="center"/>
            </w:pPr>
            <w:r w:rsidRPr="000576CB">
              <w:t>7</w:t>
            </w:r>
          </w:p>
        </w:tc>
      </w:tr>
      <w:tr w:rsidR="000576CB" w:rsidRPr="000576CB" w:rsidTr="000576CB">
        <w:trPr>
          <w:trHeight w:val="268"/>
        </w:trPr>
        <w:tc>
          <w:tcPr>
            <w:tcW w:w="14800" w:type="dxa"/>
            <w:gridSpan w:val="7"/>
          </w:tcPr>
          <w:p w:rsidR="000576CB" w:rsidRPr="000576CB" w:rsidRDefault="000576CB" w:rsidP="00CB1CF1">
            <w:pPr>
              <w:jc w:val="center"/>
            </w:pPr>
            <w:r w:rsidRPr="000576CB">
              <w:t>Имущество, находящееся в казне Аргаяшского сельского поселения</w:t>
            </w:r>
          </w:p>
        </w:tc>
      </w:tr>
      <w:tr w:rsidR="000576CB" w:rsidRPr="000576CB" w:rsidTr="00675ECE">
        <w:trPr>
          <w:trHeight w:val="1245"/>
        </w:trPr>
        <w:tc>
          <w:tcPr>
            <w:tcW w:w="539" w:type="dxa"/>
          </w:tcPr>
          <w:p w:rsidR="00675ECE" w:rsidRPr="00675ECE" w:rsidRDefault="00675ECE" w:rsidP="00CB1CF1">
            <w:pPr>
              <w:jc w:val="center"/>
              <w:rPr>
                <w:sz w:val="12"/>
                <w:szCs w:val="12"/>
              </w:rPr>
            </w:pPr>
          </w:p>
          <w:p w:rsidR="000576CB" w:rsidRPr="000576CB" w:rsidRDefault="000576CB" w:rsidP="00CB1CF1">
            <w:pPr>
              <w:jc w:val="center"/>
            </w:pPr>
            <w:r w:rsidRPr="000576CB">
              <w:t>1</w:t>
            </w:r>
          </w:p>
        </w:tc>
        <w:tc>
          <w:tcPr>
            <w:tcW w:w="2353" w:type="dxa"/>
          </w:tcPr>
          <w:p w:rsidR="00675ECE" w:rsidRPr="00675ECE" w:rsidRDefault="00675ECE" w:rsidP="00170F73">
            <w:pPr>
              <w:jc w:val="center"/>
              <w:rPr>
                <w:sz w:val="12"/>
                <w:szCs w:val="12"/>
              </w:rPr>
            </w:pPr>
          </w:p>
          <w:p w:rsidR="000576CB" w:rsidRDefault="000576CB" w:rsidP="00170F73">
            <w:pPr>
              <w:jc w:val="center"/>
            </w:pPr>
            <w:r w:rsidRPr="000576CB">
              <w:t>Водонапорная башня с артезианской скважиной</w:t>
            </w:r>
          </w:p>
          <w:p w:rsidR="00675ECE" w:rsidRPr="000576CB" w:rsidRDefault="00675ECE" w:rsidP="00170F73">
            <w:pPr>
              <w:jc w:val="center"/>
            </w:pPr>
            <w:bookmarkStart w:id="0" w:name="_GoBack"/>
            <w:bookmarkEnd w:id="0"/>
          </w:p>
        </w:tc>
        <w:tc>
          <w:tcPr>
            <w:tcW w:w="2295" w:type="dxa"/>
          </w:tcPr>
          <w:p w:rsidR="00675ECE" w:rsidRPr="00675ECE" w:rsidRDefault="00675ECE" w:rsidP="00675ECE">
            <w:pPr>
              <w:jc w:val="center"/>
              <w:rPr>
                <w:sz w:val="12"/>
                <w:szCs w:val="12"/>
              </w:rPr>
            </w:pPr>
          </w:p>
          <w:p w:rsidR="00675ECE" w:rsidRDefault="000576CB" w:rsidP="00675ECE">
            <w:pPr>
              <w:jc w:val="center"/>
            </w:pPr>
            <w:r w:rsidRPr="000576CB">
              <w:t>Аргаяшский район, село Аргаяш,</w:t>
            </w:r>
          </w:p>
          <w:p w:rsidR="000576CB" w:rsidRPr="000576CB" w:rsidRDefault="000576CB" w:rsidP="00675ECE">
            <w:pPr>
              <w:jc w:val="center"/>
            </w:pPr>
            <w:proofErr w:type="spellStart"/>
            <w:r w:rsidRPr="000576CB">
              <w:t>пл</w:t>
            </w:r>
            <w:proofErr w:type="gramStart"/>
            <w:r w:rsidRPr="000576CB">
              <w:t>.С</w:t>
            </w:r>
            <w:proofErr w:type="gramEnd"/>
            <w:r w:rsidRPr="000576CB">
              <w:t>ПТУ</w:t>
            </w:r>
            <w:proofErr w:type="spellEnd"/>
          </w:p>
        </w:tc>
        <w:tc>
          <w:tcPr>
            <w:tcW w:w="1599" w:type="dxa"/>
          </w:tcPr>
          <w:p w:rsidR="00675ECE" w:rsidRPr="00675ECE" w:rsidRDefault="00675ECE" w:rsidP="00170F73">
            <w:pPr>
              <w:jc w:val="center"/>
              <w:rPr>
                <w:sz w:val="12"/>
                <w:szCs w:val="12"/>
              </w:rPr>
            </w:pPr>
          </w:p>
          <w:p w:rsidR="000576CB" w:rsidRPr="000576CB" w:rsidRDefault="000576CB" w:rsidP="00170F73">
            <w:pPr>
              <w:jc w:val="center"/>
            </w:pPr>
            <w:r w:rsidRPr="000576CB">
              <w:t>-</w:t>
            </w:r>
          </w:p>
        </w:tc>
        <w:tc>
          <w:tcPr>
            <w:tcW w:w="2046" w:type="dxa"/>
          </w:tcPr>
          <w:p w:rsidR="00675ECE" w:rsidRPr="00675ECE" w:rsidRDefault="00675ECE" w:rsidP="00170F73">
            <w:pPr>
              <w:jc w:val="center"/>
              <w:rPr>
                <w:sz w:val="12"/>
                <w:szCs w:val="12"/>
              </w:rPr>
            </w:pPr>
          </w:p>
          <w:p w:rsidR="000576CB" w:rsidRPr="000576CB" w:rsidRDefault="000576CB" w:rsidP="00170F73">
            <w:pPr>
              <w:jc w:val="center"/>
            </w:pPr>
            <w:r w:rsidRPr="000576CB">
              <w:t>сооружения водозаборные</w:t>
            </w:r>
          </w:p>
        </w:tc>
        <w:tc>
          <w:tcPr>
            <w:tcW w:w="3192" w:type="dxa"/>
          </w:tcPr>
          <w:p w:rsidR="00675ECE" w:rsidRPr="00675ECE" w:rsidRDefault="00675ECE" w:rsidP="00170F73">
            <w:pPr>
              <w:jc w:val="center"/>
              <w:rPr>
                <w:sz w:val="12"/>
                <w:szCs w:val="12"/>
              </w:rPr>
            </w:pPr>
          </w:p>
          <w:p w:rsidR="000576CB" w:rsidRPr="000576CB" w:rsidRDefault="000576CB" w:rsidP="00170F73">
            <w:pPr>
              <w:jc w:val="center"/>
            </w:pPr>
            <w:r w:rsidRPr="000576CB">
              <w:t>74:02:0201137:1007</w:t>
            </w:r>
          </w:p>
          <w:p w:rsidR="000576CB" w:rsidRPr="000576CB" w:rsidRDefault="000576CB" w:rsidP="00170F73">
            <w:pPr>
              <w:jc w:val="center"/>
            </w:pPr>
            <w:r w:rsidRPr="000576CB">
              <w:t>Глубина: 50 м.</w:t>
            </w:r>
          </w:p>
          <w:p w:rsidR="000576CB" w:rsidRPr="000576CB" w:rsidRDefault="000576CB" w:rsidP="00170F73">
            <w:pPr>
              <w:ind w:right="-108"/>
              <w:jc w:val="center"/>
            </w:pPr>
            <w:r w:rsidRPr="000576CB">
              <w:t>Объем: 25 куб.м.</w:t>
            </w:r>
          </w:p>
        </w:tc>
        <w:tc>
          <w:tcPr>
            <w:tcW w:w="2776" w:type="dxa"/>
          </w:tcPr>
          <w:p w:rsidR="00675ECE" w:rsidRPr="00675ECE" w:rsidRDefault="00675ECE" w:rsidP="00675ECE">
            <w:pPr>
              <w:jc w:val="center"/>
              <w:rPr>
                <w:sz w:val="12"/>
                <w:szCs w:val="12"/>
              </w:rPr>
            </w:pPr>
          </w:p>
          <w:p w:rsidR="000576CB" w:rsidRPr="000576CB" w:rsidRDefault="000576CB" w:rsidP="00675ECE">
            <w:pPr>
              <w:jc w:val="center"/>
            </w:pPr>
            <w:r w:rsidRPr="000576CB">
              <w:t>Распоряжение Правительства Российской Федерации №1565-р от 03.12.2004</w:t>
            </w:r>
          </w:p>
        </w:tc>
      </w:tr>
    </w:tbl>
    <w:p w:rsidR="000576CB" w:rsidRDefault="000576CB" w:rsidP="00A379BD">
      <w:pPr>
        <w:rPr>
          <w:sz w:val="28"/>
          <w:szCs w:val="28"/>
        </w:rPr>
      </w:pPr>
    </w:p>
    <w:sectPr w:rsidR="000576CB" w:rsidSect="000576CB">
      <w:pgSz w:w="16838" w:h="11906" w:orient="landscape" w:code="9"/>
      <w:pgMar w:top="284" w:right="567"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14D" w:rsidRDefault="0023614D" w:rsidP="002C72BE">
      <w:r>
        <w:separator/>
      </w:r>
    </w:p>
  </w:endnote>
  <w:endnote w:type="continuationSeparator" w:id="0">
    <w:p w:rsidR="0023614D" w:rsidRDefault="0023614D" w:rsidP="002C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14D" w:rsidRDefault="0023614D" w:rsidP="002C72BE">
      <w:r>
        <w:separator/>
      </w:r>
    </w:p>
  </w:footnote>
  <w:footnote w:type="continuationSeparator" w:id="0">
    <w:p w:rsidR="0023614D" w:rsidRDefault="0023614D" w:rsidP="002C7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61464"/>
    <w:multiLevelType w:val="multilevel"/>
    <w:tmpl w:val="02361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72BE"/>
    <w:rsid w:val="000576CB"/>
    <w:rsid w:val="00067FFE"/>
    <w:rsid w:val="000A1B32"/>
    <w:rsid w:val="00101334"/>
    <w:rsid w:val="001624E3"/>
    <w:rsid w:val="00170F73"/>
    <w:rsid w:val="001849E5"/>
    <w:rsid w:val="001D0019"/>
    <w:rsid w:val="0023614D"/>
    <w:rsid w:val="00272914"/>
    <w:rsid w:val="002932C2"/>
    <w:rsid w:val="002C238D"/>
    <w:rsid w:val="002C72BE"/>
    <w:rsid w:val="003249A0"/>
    <w:rsid w:val="00335507"/>
    <w:rsid w:val="00336797"/>
    <w:rsid w:val="00337460"/>
    <w:rsid w:val="003B4C9F"/>
    <w:rsid w:val="00416E4B"/>
    <w:rsid w:val="00430E4B"/>
    <w:rsid w:val="00432881"/>
    <w:rsid w:val="004425AC"/>
    <w:rsid w:val="0045058A"/>
    <w:rsid w:val="00462780"/>
    <w:rsid w:val="00480C5C"/>
    <w:rsid w:val="004A4887"/>
    <w:rsid w:val="004E2F9C"/>
    <w:rsid w:val="00507745"/>
    <w:rsid w:val="00525E7E"/>
    <w:rsid w:val="00551B1C"/>
    <w:rsid w:val="00595467"/>
    <w:rsid w:val="005B1A4F"/>
    <w:rsid w:val="005C3F74"/>
    <w:rsid w:val="00620236"/>
    <w:rsid w:val="006329FE"/>
    <w:rsid w:val="006558F3"/>
    <w:rsid w:val="006726DD"/>
    <w:rsid w:val="00675ECE"/>
    <w:rsid w:val="006841CD"/>
    <w:rsid w:val="006E05C9"/>
    <w:rsid w:val="0071014A"/>
    <w:rsid w:val="00733B3B"/>
    <w:rsid w:val="00740E6A"/>
    <w:rsid w:val="00742F46"/>
    <w:rsid w:val="00767C8F"/>
    <w:rsid w:val="007721C0"/>
    <w:rsid w:val="007928EF"/>
    <w:rsid w:val="007C46A5"/>
    <w:rsid w:val="0083621C"/>
    <w:rsid w:val="008A6771"/>
    <w:rsid w:val="00987068"/>
    <w:rsid w:val="009C2994"/>
    <w:rsid w:val="009E0BFA"/>
    <w:rsid w:val="00A27CB3"/>
    <w:rsid w:val="00A379BD"/>
    <w:rsid w:val="00A7753B"/>
    <w:rsid w:val="00AC4D41"/>
    <w:rsid w:val="00B04FDE"/>
    <w:rsid w:val="00B1045A"/>
    <w:rsid w:val="00BF618F"/>
    <w:rsid w:val="00C72DAF"/>
    <w:rsid w:val="00C74790"/>
    <w:rsid w:val="00CB7502"/>
    <w:rsid w:val="00CC1943"/>
    <w:rsid w:val="00CF391A"/>
    <w:rsid w:val="00DD5E80"/>
    <w:rsid w:val="00DF46B1"/>
    <w:rsid w:val="00F15ED3"/>
    <w:rsid w:val="00F364CF"/>
    <w:rsid w:val="00FE0A51"/>
    <w:rsid w:val="00FE2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2B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379BD"/>
    <w:pPr>
      <w:keepNext/>
      <w:jc w:val="center"/>
      <w:outlineLvl w:val="2"/>
    </w:pPr>
    <w:rPr>
      <w:sz w:val="36"/>
      <w:szCs w:val="20"/>
    </w:rPr>
  </w:style>
  <w:style w:type="paragraph" w:styleId="4">
    <w:name w:val="heading 4"/>
    <w:basedOn w:val="a"/>
    <w:next w:val="a"/>
    <w:link w:val="40"/>
    <w:qFormat/>
    <w:rsid w:val="00A379BD"/>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2C72BE"/>
    <w:rPr>
      <w:rFonts w:ascii="Arial" w:hAnsi="Arial"/>
      <w:sz w:val="15"/>
      <w:szCs w:val="15"/>
      <w:shd w:val="clear" w:color="auto" w:fill="FFFFFF"/>
    </w:rPr>
  </w:style>
  <w:style w:type="paragraph" w:customStyle="1" w:styleId="2">
    <w:name w:val="Основной текст2"/>
    <w:basedOn w:val="a"/>
    <w:link w:val="a3"/>
    <w:rsid w:val="002C72BE"/>
    <w:pPr>
      <w:widowControl w:val="0"/>
      <w:shd w:val="clear" w:color="auto" w:fill="FFFFFF"/>
      <w:spacing w:line="240" w:lineRule="atLeast"/>
      <w:ind w:hanging="1600"/>
    </w:pPr>
    <w:rPr>
      <w:rFonts w:ascii="Arial" w:eastAsiaTheme="minorHAnsi" w:hAnsi="Arial" w:cstheme="minorBidi"/>
      <w:sz w:val="15"/>
      <w:szCs w:val="15"/>
      <w:lang w:eastAsia="en-US"/>
    </w:rPr>
  </w:style>
  <w:style w:type="character" w:customStyle="1" w:styleId="Exact">
    <w:name w:val="Основной текст Exact"/>
    <w:rsid w:val="002C72BE"/>
    <w:rPr>
      <w:rFonts w:ascii="Arial" w:eastAsia="Times New Roman" w:hAnsi="Arial" w:cs="Arial"/>
      <w:spacing w:val="1"/>
      <w:sz w:val="14"/>
      <w:szCs w:val="14"/>
      <w:u w:val="none"/>
    </w:rPr>
  </w:style>
  <w:style w:type="paragraph" w:styleId="a4">
    <w:name w:val="Plain Text"/>
    <w:basedOn w:val="a"/>
    <w:link w:val="a5"/>
    <w:rsid w:val="002C72BE"/>
    <w:rPr>
      <w:rFonts w:ascii="Courier New" w:hAnsi="Courier New" w:cs="Courier New"/>
      <w:sz w:val="20"/>
      <w:szCs w:val="20"/>
    </w:rPr>
  </w:style>
  <w:style w:type="character" w:customStyle="1" w:styleId="a5">
    <w:name w:val="Текст Знак"/>
    <w:basedOn w:val="a0"/>
    <w:link w:val="a4"/>
    <w:rsid w:val="002C72BE"/>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2C72BE"/>
    <w:pPr>
      <w:tabs>
        <w:tab w:val="center" w:pos="4677"/>
        <w:tab w:val="right" w:pos="9355"/>
      </w:tabs>
    </w:pPr>
  </w:style>
  <w:style w:type="character" w:customStyle="1" w:styleId="a7">
    <w:name w:val="Верхний колонтитул Знак"/>
    <w:basedOn w:val="a0"/>
    <w:link w:val="a6"/>
    <w:uiPriority w:val="99"/>
    <w:semiHidden/>
    <w:rsid w:val="002C72BE"/>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2C72BE"/>
    <w:pPr>
      <w:tabs>
        <w:tab w:val="center" w:pos="4677"/>
        <w:tab w:val="right" w:pos="9355"/>
      </w:tabs>
    </w:pPr>
  </w:style>
  <w:style w:type="character" w:customStyle="1" w:styleId="a9">
    <w:name w:val="Нижний колонтитул Знак"/>
    <w:basedOn w:val="a0"/>
    <w:link w:val="a8"/>
    <w:uiPriority w:val="99"/>
    <w:semiHidden/>
    <w:rsid w:val="002C72BE"/>
    <w:rPr>
      <w:rFonts w:ascii="Times New Roman" w:eastAsia="Times New Roman" w:hAnsi="Times New Roman" w:cs="Times New Roman"/>
      <w:sz w:val="24"/>
      <w:szCs w:val="24"/>
      <w:lang w:eastAsia="ru-RU"/>
    </w:rPr>
  </w:style>
  <w:style w:type="character" w:customStyle="1" w:styleId="2Exact">
    <w:name w:val="Основной текст (2) Exact"/>
    <w:link w:val="20"/>
    <w:locked/>
    <w:rsid w:val="005B1A4F"/>
    <w:rPr>
      <w:rFonts w:ascii="Arial" w:hAnsi="Arial"/>
      <w:shd w:val="clear" w:color="auto" w:fill="FFFFFF"/>
    </w:rPr>
  </w:style>
  <w:style w:type="paragraph" w:customStyle="1" w:styleId="20">
    <w:name w:val="Основной текст (2)"/>
    <w:basedOn w:val="a"/>
    <w:link w:val="2Exact"/>
    <w:rsid w:val="005B1A4F"/>
    <w:pPr>
      <w:widowControl w:val="0"/>
      <w:shd w:val="clear" w:color="auto" w:fill="FFFFFF"/>
      <w:spacing w:line="240" w:lineRule="atLeast"/>
    </w:pPr>
    <w:rPr>
      <w:rFonts w:ascii="Arial" w:eastAsiaTheme="minorHAnsi" w:hAnsi="Arial" w:cstheme="minorBidi"/>
      <w:sz w:val="22"/>
      <w:szCs w:val="22"/>
      <w:lang w:eastAsia="en-US"/>
    </w:rPr>
  </w:style>
  <w:style w:type="character" w:customStyle="1" w:styleId="211pt">
    <w:name w:val="Основной текст (2) + 11 pt;Полужирный"/>
    <w:basedOn w:val="a0"/>
    <w:rsid w:val="005B1A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rsid w:val="00A379BD"/>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A379BD"/>
    <w:rPr>
      <w:rFonts w:ascii="Times New Roman" w:eastAsia="Times New Roman" w:hAnsi="Times New Roman" w:cs="Times New Roman"/>
      <w:b/>
      <w:sz w:val="32"/>
      <w:szCs w:val="20"/>
      <w:lang w:eastAsia="ru-RU"/>
    </w:rPr>
  </w:style>
  <w:style w:type="paragraph" w:styleId="aa">
    <w:name w:val="Balloon Text"/>
    <w:basedOn w:val="a"/>
    <w:link w:val="ab"/>
    <w:uiPriority w:val="99"/>
    <w:semiHidden/>
    <w:unhideWhenUsed/>
    <w:rsid w:val="00A379BD"/>
    <w:rPr>
      <w:rFonts w:ascii="Tahoma" w:hAnsi="Tahoma" w:cs="Tahoma"/>
      <w:sz w:val="16"/>
      <w:szCs w:val="16"/>
    </w:rPr>
  </w:style>
  <w:style w:type="character" w:customStyle="1" w:styleId="ab">
    <w:name w:val="Текст выноски Знак"/>
    <w:basedOn w:val="a0"/>
    <w:link w:val="aa"/>
    <w:uiPriority w:val="99"/>
    <w:semiHidden/>
    <w:rsid w:val="00A379BD"/>
    <w:rPr>
      <w:rFonts w:ascii="Tahoma" w:eastAsia="Times New Roman" w:hAnsi="Tahoma" w:cs="Tahoma"/>
      <w:sz w:val="16"/>
      <w:szCs w:val="16"/>
      <w:lang w:eastAsia="ru-RU"/>
    </w:rPr>
  </w:style>
  <w:style w:type="paragraph" w:styleId="ac">
    <w:name w:val="No Spacing"/>
    <w:uiPriority w:val="1"/>
    <w:qFormat/>
    <w:rsid w:val="00595467"/>
    <w:pPr>
      <w:spacing w:after="0" w:line="240" w:lineRule="auto"/>
    </w:pPr>
    <w:rPr>
      <w:rFonts w:ascii="Times New Roman" w:eastAsia="Times New Roman" w:hAnsi="Times New Roman" w:cs="Times New Roman"/>
      <w:sz w:val="24"/>
      <w:szCs w:val="24"/>
      <w:lang w:eastAsia="ru-RU"/>
    </w:rPr>
  </w:style>
  <w:style w:type="table" w:styleId="ad">
    <w:name w:val="Table Grid"/>
    <w:basedOn w:val="a1"/>
    <w:rsid w:val="006329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6329FE"/>
    <w:pPr>
      <w:spacing w:before="100" w:beforeAutospacing="1" w:after="100" w:afterAutospacing="1"/>
    </w:pPr>
    <w:rPr>
      <w:rFonts w:ascii="Tahoma" w:hAnsi="Tahoma" w:cs="Tahoma"/>
      <w:sz w:val="20"/>
      <w:szCs w:val="20"/>
      <w:lang w:val="en-US" w:eastAsia="en-US"/>
    </w:rPr>
  </w:style>
  <w:style w:type="paragraph" w:styleId="21">
    <w:name w:val="Body Text Indent 2"/>
    <w:basedOn w:val="a"/>
    <w:link w:val="22"/>
    <w:uiPriority w:val="99"/>
    <w:semiHidden/>
    <w:unhideWhenUsed/>
    <w:rsid w:val="00432881"/>
    <w:pPr>
      <w:spacing w:after="120" w:line="480" w:lineRule="auto"/>
      <w:ind w:left="283"/>
    </w:pPr>
  </w:style>
  <w:style w:type="character" w:customStyle="1" w:styleId="22">
    <w:name w:val="Основной текст с отступом 2 Знак"/>
    <w:basedOn w:val="a0"/>
    <w:link w:val="21"/>
    <w:uiPriority w:val="99"/>
    <w:semiHidden/>
    <w:rsid w:val="00432881"/>
    <w:rPr>
      <w:rFonts w:ascii="Times New Roman" w:eastAsia="Times New Roman" w:hAnsi="Times New Roman" w:cs="Times New Roman"/>
      <w:sz w:val="24"/>
      <w:szCs w:val="24"/>
      <w:lang w:eastAsia="ru-RU"/>
    </w:rPr>
  </w:style>
  <w:style w:type="paragraph" w:customStyle="1" w:styleId="1">
    <w:name w:val="Основной текст1"/>
    <w:basedOn w:val="a"/>
    <w:rsid w:val="00551B1C"/>
    <w:pPr>
      <w:widowControl w:val="0"/>
      <w:shd w:val="clear" w:color="auto" w:fill="FFFFFF"/>
      <w:spacing w:before="420" w:after="420" w:line="490" w:lineRule="exact"/>
    </w:pPr>
    <w:rPr>
      <w:color w:val="000000"/>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DE21-6CA0-47D8-8CE8-EEC60755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439</Words>
  <Characters>2505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36</cp:revision>
  <cp:lastPrinted>2021-11-25T08:23:00Z</cp:lastPrinted>
  <dcterms:created xsi:type="dcterms:W3CDTF">2021-03-25T04:53:00Z</dcterms:created>
  <dcterms:modified xsi:type="dcterms:W3CDTF">2021-11-25T08:39:00Z</dcterms:modified>
</cp:coreProperties>
</file>