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687847" w:rsidP="0068784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A16CA8" w:rsidRPr="00B0660B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1F6C1B" w:rsidRPr="00B0660B">
              <w:rPr>
                <w:rFonts w:ascii="Times New Roman" w:hAnsi="Times New Roman" w:cs="Times New Roman"/>
                <w:b/>
              </w:rPr>
              <w:t>3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0F6A2C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0F6A2C" w:rsidRPr="000F6A2C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A2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0F6A2C" w:rsidRPr="00687847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7847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Pr="0068784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  <w:lang w:eastAsia="ru-RU"/>
              </w:rPr>
              <w:t>Яраткуловского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F6A2C" w:rsidRPr="00B0660B" w:rsidRDefault="000F6A2C" w:rsidP="000F6A2C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0.2023-</w:t>
            </w:r>
            <w:r>
              <w:rPr>
                <w:rFonts w:ascii="Times New Roman" w:hAnsi="Times New Roman" w:cs="Times New Roman"/>
              </w:rPr>
              <w:t>20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</w:rPr>
              <w:t>0</w:t>
            </w:r>
            <w:r w:rsidRPr="00B0660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</w:t>
            </w:r>
            <w:r>
              <w:rPr>
                <w:rFonts w:ascii="Times New Roman" w:hAnsi="Times New Roman" w:cs="Times New Roman"/>
              </w:rPr>
              <w:t>6</w:t>
            </w:r>
            <w:r w:rsidRPr="00B0660B">
              <w:rPr>
                <w:rFonts w:ascii="Times New Roman" w:hAnsi="Times New Roman" w:cs="Times New Roman"/>
              </w:rPr>
              <w:t>/2023-ФК от</w:t>
            </w:r>
          </w:p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0F6A2C" w:rsidRPr="00687847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687847">
              <w:rPr>
                <w:rFonts w:ascii="Times New Roman" w:eastAsia="Calibri" w:hAnsi="Times New Roman" w:cs="Times New Roman"/>
              </w:rPr>
              <w:t xml:space="preserve">В действиях Администрации </w:t>
            </w:r>
            <w:r w:rsidRPr="0068784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  <w:lang w:eastAsia="ru-RU"/>
              </w:rPr>
              <w:t>Яраткуловского</w:t>
            </w:r>
            <w:r w:rsidRPr="00687847">
              <w:rPr>
                <w:rFonts w:ascii="Times New Roman" w:eastAsia="Calibri" w:hAnsi="Times New Roman" w:cs="Times New Roman"/>
              </w:rPr>
              <w:t xml:space="preserve">  сельского поселения установлены нарушения:</w:t>
            </w:r>
          </w:p>
          <w:p w:rsidR="000F6A2C" w:rsidRPr="00687847" w:rsidRDefault="000F6A2C" w:rsidP="000F6A2C">
            <w:pPr>
              <w:numPr>
                <w:ilvl w:val="0"/>
                <w:numId w:val="23"/>
              </w:numPr>
              <w:spacing w:after="0" w:line="240" w:lineRule="auto"/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7847">
              <w:rPr>
                <w:rFonts w:ascii="Times New Roman" w:eastAsia="Calibri" w:hAnsi="Times New Roman" w:cs="Times New Roman"/>
              </w:rPr>
              <w:t>При анализе дебиторской задолженности по неналоговым доходам установлены следующие нарушения:</w:t>
            </w:r>
          </w:p>
          <w:p w:rsidR="000F6A2C" w:rsidRPr="00687847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87847">
              <w:rPr>
                <w:rFonts w:ascii="Times New Roman" w:eastAsia="Calibri" w:hAnsi="Times New Roman" w:cs="Times New Roman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  <w:i/>
              </w:rPr>
              <w:t xml:space="preserve">- В нарушение п. 52 Инструкции 191н при составлении ф. 0503127 на 01.01.2023 г. отражена сумма неналоговых доходов, несоответствующая </w:t>
            </w:r>
            <w:r w:rsidRPr="00687847">
              <w:rPr>
                <w:rFonts w:ascii="Times New Roman" w:eastAsia="Calibri" w:hAnsi="Times New Roman" w:cs="Times New Roman"/>
                <w:i/>
                <w:lang w:eastAsia="ru-RU"/>
              </w:rPr>
              <w:t>данным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</w:t>
            </w:r>
            <w:r w:rsidRPr="00687847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  <w:p w:rsidR="000F6A2C" w:rsidRPr="00687847" w:rsidRDefault="000F6A2C" w:rsidP="000F6A2C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7847">
              <w:rPr>
                <w:rFonts w:ascii="Times New Roman" w:eastAsia="Calibri" w:hAnsi="Times New Roman" w:cs="Times New Roman"/>
                <w:lang w:eastAsia="ru-RU"/>
              </w:rPr>
              <w:t xml:space="preserve">2. </w:t>
            </w:r>
            <w:r w:rsidRPr="00687847">
              <w:rPr>
                <w:rFonts w:ascii="Times New Roman" w:hAnsi="Times New Roman" w:cs="Times New Roman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следующие нарушения:</w:t>
            </w:r>
          </w:p>
          <w:p w:rsidR="000F6A2C" w:rsidRPr="00687847" w:rsidRDefault="000F6A2C" w:rsidP="000F6A2C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</w:rPr>
            </w:pPr>
            <w:r w:rsidRPr="00687847">
              <w:rPr>
                <w:rFonts w:ascii="Times New Roman" w:eastAsia="Calibri" w:hAnsi="Times New Roman" w:cs="Times New Roman"/>
                <w:i/>
              </w:rPr>
              <w:t>- В нарушение п. 167 Инструкции 191н при составлении ф. 0503169 на 01.01.2023 г. не отражены обороты по счету 1 205 41 (доходы от штрафных санкций).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(исх. № </w:t>
            </w:r>
            <w:r>
              <w:rPr>
                <w:rFonts w:ascii="Times New Roman" w:hAnsi="Times New Roman" w:cs="Times New Roman"/>
              </w:rPr>
              <w:t>5019</w:t>
            </w:r>
            <w:r w:rsidRPr="0088282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Pr="0088282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882828">
              <w:rPr>
                <w:rFonts w:ascii="Times New Roman" w:hAnsi="Times New Roman" w:cs="Times New Roman"/>
              </w:rPr>
              <w:t>0.2023)</w:t>
            </w:r>
          </w:p>
        </w:tc>
      </w:tr>
      <w:tr w:rsidR="001F6C1B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6C1B" w:rsidRPr="00B066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C1B" w:rsidRPr="00687847" w:rsidRDefault="00687847" w:rsidP="006878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687847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</w:t>
            </w:r>
            <w:r w:rsidRPr="00687847">
              <w:rPr>
                <w:rFonts w:ascii="Times New Roman" w:hAnsi="Times New Roman" w:cs="Times New Roman"/>
                <w:bCs/>
                <w:lang w:eastAsia="ru-RU"/>
              </w:rPr>
              <w:t>я</w:t>
            </w:r>
            <w:r w:rsidRPr="0068784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  <w:lang w:eastAsia="ru-RU"/>
              </w:rPr>
              <w:t>Камышевского</w:t>
            </w:r>
            <w:r w:rsidRPr="0068784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687847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03.</w:t>
            </w:r>
            <w:r w:rsidR="00687847"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0.2023-2</w:t>
            </w:r>
            <w:r w:rsidR="00687847">
              <w:rPr>
                <w:rFonts w:ascii="Times New Roman" w:hAnsi="Times New Roman" w:cs="Times New Roman"/>
              </w:rPr>
              <w:t>7</w:t>
            </w:r>
            <w:r w:rsidRPr="00B0660B">
              <w:rPr>
                <w:rFonts w:ascii="Times New Roman" w:hAnsi="Times New Roman" w:cs="Times New Roman"/>
              </w:rPr>
              <w:t>.</w:t>
            </w:r>
            <w:r w:rsidR="00687847"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687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 w:rsidR="009C24AB"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- 30.0</w:t>
            </w:r>
            <w:r w:rsidR="00687847"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</w:t>
            </w:r>
            <w:r w:rsidR="00687847">
              <w:rPr>
                <w:rFonts w:ascii="Times New Roman" w:hAnsi="Times New Roman" w:cs="Times New Roman"/>
              </w:rPr>
              <w:t>7</w:t>
            </w:r>
            <w:r w:rsidRPr="00B0660B">
              <w:rPr>
                <w:rFonts w:ascii="Times New Roman" w:hAnsi="Times New Roman" w:cs="Times New Roman"/>
              </w:rPr>
              <w:t>/2023-ФК от</w:t>
            </w:r>
          </w:p>
          <w:p w:rsidR="001F6C1B" w:rsidRPr="00B0660B" w:rsidRDefault="001F6C1B" w:rsidP="00687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2</w:t>
            </w:r>
            <w:r w:rsidR="00687847">
              <w:rPr>
                <w:rFonts w:ascii="Times New Roman" w:hAnsi="Times New Roman" w:cs="Times New Roman"/>
              </w:rPr>
              <w:t>7</w:t>
            </w:r>
            <w:r w:rsidRPr="00B0660B">
              <w:rPr>
                <w:rFonts w:ascii="Times New Roman" w:hAnsi="Times New Roman" w:cs="Times New Roman"/>
              </w:rPr>
              <w:t>.</w:t>
            </w:r>
            <w:r w:rsidR="00687847"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687847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687847">
              <w:rPr>
                <w:rFonts w:ascii="Times New Roman" w:eastAsia="Calibri" w:hAnsi="Times New Roman" w:cs="Times New Roman"/>
              </w:rPr>
              <w:t xml:space="preserve">В действиях Администрации </w:t>
            </w:r>
            <w:r w:rsidR="00687847" w:rsidRPr="0068784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87847" w:rsidRPr="00687847">
              <w:rPr>
                <w:rFonts w:ascii="Times New Roman" w:eastAsia="Calibri" w:hAnsi="Times New Roman" w:cs="Times New Roman"/>
                <w:lang w:eastAsia="ru-RU"/>
              </w:rPr>
              <w:t>Камышевского</w:t>
            </w:r>
            <w:r w:rsidR="00687847" w:rsidRPr="00687847">
              <w:rPr>
                <w:rFonts w:ascii="Times New Roman" w:eastAsia="Calibri" w:hAnsi="Times New Roman" w:cs="Times New Roman"/>
              </w:rPr>
              <w:t xml:space="preserve"> </w:t>
            </w:r>
            <w:r w:rsidRPr="00687847">
              <w:rPr>
                <w:rFonts w:ascii="Times New Roman" w:eastAsia="Calibri" w:hAnsi="Times New Roman" w:cs="Times New Roman"/>
              </w:rPr>
              <w:t xml:space="preserve"> сельского поселения нарушения</w:t>
            </w:r>
            <w:r w:rsidR="00687847" w:rsidRPr="00687847">
              <w:rPr>
                <w:rFonts w:ascii="Times New Roman" w:eastAsia="Calibri" w:hAnsi="Times New Roman" w:cs="Times New Roman"/>
              </w:rPr>
              <w:t xml:space="preserve"> не установлены.</w:t>
            </w:r>
          </w:p>
          <w:p w:rsidR="001F6C1B" w:rsidRPr="00687847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8784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1B05D0" w:rsidRDefault="00687847" w:rsidP="001F6C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6A2C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A2C" w:rsidRPr="000F6A2C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6A2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Комитет по управлению имуществом Аргаяшского </w:t>
            </w:r>
            <w:r w:rsidRPr="000F6A2C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lastRenderedPageBreak/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01.11.2023-13.12.2023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01.01.2022-31.10.2023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П-08/2023-ФК от 29.12.2023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В действиях </w:t>
            </w:r>
            <w:r w:rsidRPr="000F6A2C">
              <w:rPr>
                <w:rFonts w:ascii="Times New Roman" w:eastAsia="Calibri" w:hAnsi="Times New Roman" w:cs="Times New Roman"/>
                <w:bCs/>
                <w:lang w:eastAsia="ru-RU"/>
              </w:rPr>
              <w:t>Комитет</w:t>
            </w:r>
            <w:r w:rsidRPr="000F6A2C">
              <w:rPr>
                <w:rFonts w:ascii="Times New Roman" w:hAnsi="Times New Roman" w:cs="Times New Roman"/>
                <w:bCs/>
                <w:lang w:eastAsia="ru-RU"/>
              </w:rPr>
              <w:t>а</w:t>
            </w:r>
            <w:r w:rsidRPr="000F6A2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по управлению имуществом Аргаяшского района</w:t>
            </w:r>
            <w:r w:rsidRPr="000F6A2C">
              <w:rPr>
                <w:rFonts w:ascii="Times New Roman" w:eastAsia="Calibri" w:hAnsi="Times New Roman" w:cs="Times New Roman"/>
              </w:rPr>
              <w:t xml:space="preserve"> установлены нарушения:</w:t>
            </w:r>
          </w:p>
          <w:p w:rsidR="000F6A2C" w:rsidRPr="000F6A2C" w:rsidRDefault="000F6A2C" w:rsidP="000F6A2C">
            <w:pPr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>При анализе дебиторской задолженности по неналоговым доходам установлены следующие нарушения:</w:t>
            </w:r>
          </w:p>
          <w:p w:rsidR="000F6A2C" w:rsidRPr="000F6A2C" w:rsidRDefault="000F6A2C" w:rsidP="000F6A2C">
            <w:pPr>
              <w:tabs>
                <w:tab w:val="left" w:pos="851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Pr="000F6A2C">
              <w:rPr>
                <w:rFonts w:ascii="Times New Roman" w:eastAsia="Calibri" w:hAnsi="Times New Roman" w:cs="Times New Roman"/>
                <w:i/>
              </w:rPr>
              <w:t>- Данные ф. 0503127 не подтверждены данными оборотно-сальдовых ведомостей;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 xml:space="preserve">- В нарушение п. 52 Инструкции 191н при составлении ф. 0503127 на 01.01.2023  отражена сумма неналоговых доходов, несоответствующая </w:t>
            </w:r>
            <w:r w:rsidRPr="000F6A2C">
              <w:rPr>
                <w:rFonts w:ascii="Times New Roman" w:eastAsia="Calibri" w:hAnsi="Times New Roman" w:cs="Times New Roman"/>
                <w:i/>
                <w:lang w:eastAsia="ru-RU"/>
              </w:rPr>
              <w:t>данным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</w:t>
            </w:r>
            <w:r w:rsidRPr="000F6A2C">
              <w:rPr>
                <w:rFonts w:ascii="Times New Roman" w:eastAsia="Calibri" w:hAnsi="Times New Roman" w:cs="Times New Roman"/>
                <w:i/>
              </w:rPr>
              <w:t>;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>- В нарушение требований части 1 статьи 13 Закона №402-ФЗ Заказчиком допущено нарушение требований к составлению бухгалтерской (финансовой) отчетности.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>- В нарушении пункта 5.3 Положения №52 на 2021 и 2022 года прогнозные планы приватизации муниципального имущества не представлены и не размещены на официальном сайте в сети «Интернет» (продажа имущества в 2022 году производилась).</w:t>
            </w:r>
          </w:p>
          <w:p w:rsidR="000F6A2C" w:rsidRPr="000F6A2C" w:rsidRDefault="000F6A2C" w:rsidP="000F6A2C">
            <w:pPr>
              <w:pStyle w:val="a6"/>
              <w:spacing w:after="0" w:line="240" w:lineRule="auto"/>
              <w:ind w:left="0"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>данные ф.0503127 по КБК 53811102053050000410 «Доходы от реализации иного имущества, находящегося в собственности муниципальных районов, в части реализации основных средств по указанному имуществу» за 2022 год не подтверждаются данными оборотно-сальдовых ведомостей аналитического учета и не соответствуют показателям Главной книги (ф.0504072).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  <w:lang w:eastAsia="ru-RU"/>
              </w:rPr>
              <w:t>нарушение требований статьи 12  №178-ФЗ и статьи 12 №135-ФЗ при определении цены подлежащего приватизации муниципального имущества – несоответствие начальной цены имущества, установленной Заключением об итоговой величине рыночной стоимости цене, утвержденной постановлением;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F6A2C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>нарушение подпункта 1 пункта 7 Порядка №122-П в части определения размера платы за земельный участок;</w:t>
            </w:r>
          </w:p>
          <w:p w:rsidR="000F6A2C" w:rsidRPr="000F6A2C" w:rsidRDefault="000F6A2C" w:rsidP="000F6A2C">
            <w:pPr>
              <w:pStyle w:val="formattext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0F6A2C">
              <w:rPr>
                <w:i/>
                <w:sz w:val="22"/>
                <w:szCs w:val="22"/>
              </w:rPr>
              <w:t>- нарушение порядка начисления задолженности по основному долгу и пени по договору купли-продажи земельного участка в связи с отсутствием заключенного договора купли-продажи;</w:t>
            </w:r>
          </w:p>
          <w:p w:rsidR="000F6A2C" w:rsidRPr="000F6A2C" w:rsidRDefault="000F6A2C" w:rsidP="000F6A2C">
            <w:pPr>
              <w:pStyle w:val="a6"/>
              <w:spacing w:after="0" w:line="240" w:lineRule="auto"/>
              <w:ind w:left="0"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 xml:space="preserve">- искажение бухгалтерской отчетности, а именно </w:t>
            </w:r>
            <w:r w:rsidRPr="000F6A2C">
              <w:rPr>
                <w:rFonts w:ascii="Times New Roman" w:eastAsia="Calibri" w:hAnsi="Times New Roman" w:cs="Times New Roman"/>
                <w:i/>
              </w:rPr>
              <w:lastRenderedPageBreak/>
              <w:t>занижение и завышение суммы дебиторской задолженности по доходам;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>недополученные доходы в виде штрафных санкций;</w:t>
            </w:r>
          </w:p>
          <w:p w:rsidR="000F6A2C" w:rsidRPr="000F6A2C" w:rsidRDefault="000F6A2C" w:rsidP="000F6A2C">
            <w:pPr>
              <w:tabs>
                <w:tab w:val="left" w:pos="851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>нарушение пункта 4 статьи 1  Закона 257-ЗО при расчете арендной платы.</w:t>
            </w:r>
          </w:p>
          <w:p w:rsidR="000F6A2C" w:rsidRPr="000F6A2C" w:rsidRDefault="000F6A2C" w:rsidP="000F6A2C">
            <w:pPr>
              <w:tabs>
                <w:tab w:val="left" w:pos="851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>на 2023 год базовая ставка арендной платы не утверждалась.</w:t>
            </w:r>
          </w:p>
          <w:p w:rsidR="000F6A2C" w:rsidRPr="000F6A2C" w:rsidRDefault="000F6A2C" w:rsidP="000F6A2C">
            <w:pPr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При проверке своевременности взыскания дебиторской задолженности по платежам в бюджет, пеням и штрафам в досудебном и в принудительном (судебном) порядке установлены нарушения </w:t>
            </w:r>
            <w:r w:rsidRPr="000F6A2C">
              <w:rPr>
                <w:rFonts w:ascii="Times New Roman" w:eastAsia="Calibri" w:hAnsi="Times New Roman" w:cs="Times New Roman"/>
                <w:i/>
              </w:rPr>
              <w:t>части 2 статьи 160.1 БК РФ и подпункта 1 пункта 19 Положения о Комитете, проводимая работа по сокращению дебиторской задолженности в проверяемом периоде не была исчерпывающей и своевременной, а также пропущены сроки исковой давности.</w:t>
            </w:r>
          </w:p>
          <w:p w:rsidR="000F6A2C" w:rsidRPr="000F6A2C" w:rsidRDefault="000F6A2C" w:rsidP="000F6A2C">
            <w:pPr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>При анализе полноты отражения дебиторской задолженности по неналоговым доходам в учете и отчетности установлены следующие нарушения: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- </w:t>
            </w:r>
            <w:r w:rsidRPr="000F6A2C">
              <w:rPr>
                <w:rFonts w:ascii="Times New Roman" w:eastAsia="Calibri" w:hAnsi="Times New Roman" w:cs="Times New Roman"/>
                <w:i/>
              </w:rPr>
              <w:t xml:space="preserve">данные инвентаризационной описи расчетов с покупателями, поставщиками и прочими дебиторами и кредиторами не соответствуют ф. 0503169; 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</w:rPr>
            </w:pPr>
            <w:r w:rsidRPr="000F6A2C">
              <w:rPr>
                <w:rFonts w:ascii="Times New Roman" w:eastAsia="Calibri" w:hAnsi="Times New Roman" w:cs="Times New Roman"/>
                <w:i/>
              </w:rPr>
              <w:t>- нарушение требований части 1 статьи 10 Закона №402-ФЗ Комитетом не в полном объеме исключены из оборотно-сальдовой ведомости подлежащие списанию суммы дебиторской задолженности.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lastRenderedPageBreak/>
              <w:t xml:space="preserve">(исх. № </w:t>
            </w:r>
            <w:r>
              <w:rPr>
                <w:rFonts w:ascii="Times New Roman" w:hAnsi="Times New Roman" w:cs="Times New Roman"/>
              </w:rPr>
              <w:t>65</w:t>
            </w:r>
            <w:r w:rsidRPr="0088282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11.01.2024</w:t>
            </w:r>
            <w:r w:rsidRPr="00882828">
              <w:rPr>
                <w:rFonts w:ascii="Times New Roman" w:hAnsi="Times New Roman" w:cs="Times New Roman"/>
              </w:rPr>
              <w:t>)</w:t>
            </w:r>
          </w:p>
        </w:tc>
      </w:tr>
      <w:tr w:rsidR="000F6A2C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A2C" w:rsidRPr="000F6A2C" w:rsidRDefault="000F6A2C" w:rsidP="000F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6A2C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Pr="000F6A2C">
              <w:rPr>
                <w:rFonts w:ascii="Times New Roman" w:hAnsi="Times New Roman" w:cs="Times New Roman"/>
                <w:bCs/>
                <w:spacing w:val="-3"/>
              </w:rPr>
              <w:t xml:space="preserve"> Худайбердинского</w:t>
            </w:r>
            <w:r w:rsidRPr="000F6A2C">
              <w:rPr>
                <w:rFonts w:ascii="Times New Roman" w:eastAsia="Calibri" w:hAnsi="Times New Roman" w:cs="Times New Roman"/>
                <w:lang w:eastAsia="ru-RU"/>
              </w:rPr>
              <w:t xml:space="preserve"> 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0660B">
              <w:rPr>
                <w:rFonts w:ascii="Times New Roman" w:hAnsi="Times New Roman" w:cs="Times New Roman"/>
              </w:rPr>
              <w:t>.2023-</w:t>
            </w:r>
            <w:r>
              <w:rPr>
                <w:rFonts w:ascii="Times New Roman" w:hAnsi="Times New Roman" w:cs="Times New Roman"/>
              </w:rPr>
              <w:t>28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</w:rPr>
              <w:t>0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</w:t>
            </w:r>
            <w:r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/2023-ФК от</w:t>
            </w:r>
          </w:p>
          <w:p w:rsidR="000F6A2C" w:rsidRPr="00B0660B" w:rsidRDefault="000F6A2C" w:rsidP="000F6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B066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0F6A2C" w:rsidRDefault="000F6A2C" w:rsidP="000F6A2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0F6A2C">
              <w:rPr>
                <w:rFonts w:ascii="Times New Roman" w:eastAsia="Calibri" w:hAnsi="Times New Roman" w:cs="Times New Roman"/>
              </w:rPr>
              <w:t xml:space="preserve">В действиях Администрации </w:t>
            </w:r>
            <w:r w:rsidRPr="000F6A2C">
              <w:rPr>
                <w:rFonts w:ascii="Times New Roman" w:hAnsi="Times New Roman" w:cs="Times New Roman"/>
                <w:bCs/>
                <w:spacing w:val="-3"/>
              </w:rPr>
              <w:t xml:space="preserve"> Худайбердинского</w:t>
            </w:r>
            <w:r w:rsidRPr="000F6A2C">
              <w:rPr>
                <w:rFonts w:ascii="Times New Roman" w:eastAsia="Calibri" w:hAnsi="Times New Roman" w:cs="Times New Roman"/>
              </w:rPr>
              <w:t xml:space="preserve">  сельского поселения установлены нарушения:</w:t>
            </w:r>
          </w:p>
          <w:p w:rsidR="000F6A2C" w:rsidRPr="000F6A2C" w:rsidRDefault="000F6A2C" w:rsidP="000F6A2C">
            <w:pPr>
              <w:numPr>
                <w:ilvl w:val="0"/>
                <w:numId w:val="27"/>
              </w:numPr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</w:rPr>
            </w:pPr>
            <w:r w:rsidRPr="000F6A2C">
              <w:rPr>
                <w:rFonts w:ascii="Times New Roman" w:hAnsi="Times New Roman" w:cs="Times New Roman"/>
              </w:rPr>
              <w:t>При анализе индексации размера арендной платы установлены нарушения: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F6A2C">
              <w:rPr>
                <w:rFonts w:ascii="Times New Roman" w:hAnsi="Times New Roman" w:cs="Times New Roman"/>
                <w:i/>
              </w:rPr>
              <w:t>- отсутствие нормативных документов, утверждающих базовую ставку арендной платы за пользование объектами недвижимого имущества, находящегося в муниципальной собственности поселения на 2022 и 2023 г.,</w:t>
            </w:r>
          </w:p>
          <w:p w:rsidR="000F6A2C" w:rsidRPr="000F6A2C" w:rsidRDefault="000F6A2C" w:rsidP="000F6A2C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i/>
              </w:rPr>
            </w:pPr>
            <w:r w:rsidRPr="000F6A2C">
              <w:rPr>
                <w:rFonts w:ascii="Times New Roman" w:hAnsi="Times New Roman" w:cs="Times New Roman"/>
                <w:i/>
              </w:rPr>
              <w:t xml:space="preserve">- положения о порядке сдачи в аренду, определения величины арендной платы за пользование муниципальным </w:t>
            </w:r>
            <w:r w:rsidRPr="000F6A2C">
              <w:rPr>
                <w:rFonts w:ascii="Times New Roman" w:hAnsi="Times New Roman" w:cs="Times New Roman"/>
                <w:i/>
              </w:rPr>
              <w:lastRenderedPageBreak/>
              <w:t>имуществом в части расчета арендной платы и условий изменения договоров аренды.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0F6A2C" w:rsidRPr="00882828" w:rsidRDefault="000F6A2C" w:rsidP="000F6A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(исх. № </w:t>
            </w:r>
            <w:r>
              <w:rPr>
                <w:rFonts w:ascii="Times New Roman" w:hAnsi="Times New Roman" w:cs="Times New Roman"/>
              </w:rPr>
              <w:t>6202</w:t>
            </w:r>
            <w:r w:rsidRPr="0088282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</w:t>
            </w:r>
            <w:r w:rsidRPr="008828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882828">
              <w:rPr>
                <w:rFonts w:ascii="Times New Roman" w:hAnsi="Times New Roman" w:cs="Times New Roman"/>
              </w:rPr>
              <w:t>.2023)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1947A1" w:rsidRPr="002A13D5" w:rsidRDefault="001947A1" w:rsidP="0019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, проведенных в </w:t>
      </w:r>
      <w:r w:rsidR="002A13D5">
        <w:rPr>
          <w:rFonts w:ascii="Times New Roman" w:eastAsia="Times New Roman" w:hAnsi="Times New Roman" w:cs="Times New Roman"/>
          <w:lang w:eastAsia="ru-RU"/>
        </w:rPr>
        <w:t>4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2023 года,  размещены на официальном сайте Единой </w:t>
      </w:r>
      <w:r w:rsidRPr="002A13D5">
        <w:rPr>
          <w:rFonts w:ascii="Times New Roman" w:eastAsia="Times New Roman" w:hAnsi="Times New Roman" w:cs="Times New Roman"/>
          <w:lang w:eastAsia="ru-RU"/>
        </w:rPr>
        <w:t xml:space="preserve">информационной системы в сфере закупок  </w:t>
      </w:r>
      <w:r w:rsidRPr="002A13D5">
        <w:rPr>
          <w:rFonts w:ascii="Times New Roman" w:eastAsia="Times New Roman" w:hAnsi="Times New Roman" w:cs="Times New Roman"/>
          <w:lang w:val="en-US" w:eastAsia="ru-RU"/>
        </w:rPr>
        <w:t>zakupki</w:t>
      </w:r>
      <w:r w:rsidRPr="002A13D5">
        <w:rPr>
          <w:rFonts w:ascii="Times New Roman" w:eastAsia="Times New Roman" w:hAnsi="Times New Roman" w:cs="Times New Roman"/>
          <w:lang w:eastAsia="ru-RU"/>
        </w:rPr>
        <w:t>.</w:t>
      </w:r>
      <w:r w:rsidRPr="002A13D5">
        <w:rPr>
          <w:rFonts w:ascii="Times New Roman" w:eastAsia="Times New Roman" w:hAnsi="Times New Roman" w:cs="Times New Roman"/>
          <w:lang w:val="en-US" w:eastAsia="ru-RU"/>
        </w:rPr>
        <w:t>gov</w:t>
      </w:r>
      <w:r w:rsidRPr="002A13D5">
        <w:rPr>
          <w:rFonts w:ascii="Times New Roman" w:eastAsia="Times New Roman" w:hAnsi="Times New Roman" w:cs="Times New Roman"/>
          <w:lang w:eastAsia="ru-RU"/>
        </w:rPr>
        <w:t>.</w:t>
      </w:r>
      <w:r w:rsidRPr="002A13D5">
        <w:rPr>
          <w:rFonts w:ascii="Times New Roman" w:eastAsia="Times New Roman" w:hAnsi="Times New Roman" w:cs="Times New Roman"/>
          <w:lang w:val="en-US" w:eastAsia="ru-RU"/>
        </w:rPr>
        <w:t>ru</w:t>
      </w:r>
      <w:r w:rsidRPr="002A13D5">
        <w:rPr>
          <w:rFonts w:ascii="Times New Roman" w:eastAsia="Times New Roman" w:hAnsi="Times New Roman" w:cs="Times New Roman"/>
          <w:lang w:eastAsia="ru-RU"/>
        </w:rPr>
        <w:t xml:space="preserve"> в реестре жалоб, плановых и внеплановых проверок, их результатов и выданных предписаний (результаты контроля):</w:t>
      </w:r>
    </w:p>
    <w:p w:rsidR="001947A1" w:rsidRPr="002A13D5" w:rsidRDefault="002A13D5" w:rsidP="001947A1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A13D5">
        <w:rPr>
          <w:rFonts w:ascii="Times New Roman" w:hAnsi="Times New Roman" w:cs="Times New Roman"/>
          <w:shd w:val="clear" w:color="auto" w:fill="FFFFFF"/>
        </w:rPr>
        <w:t>Администраци</w:t>
      </w:r>
      <w:r>
        <w:rPr>
          <w:rFonts w:ascii="Times New Roman" w:hAnsi="Times New Roman" w:cs="Times New Roman"/>
          <w:shd w:val="clear" w:color="auto" w:fill="FFFFFF"/>
        </w:rPr>
        <w:t>я</w:t>
      </w:r>
      <w:r w:rsidRPr="002A13D5">
        <w:rPr>
          <w:rFonts w:ascii="Times New Roman" w:hAnsi="Times New Roman" w:cs="Times New Roman"/>
          <w:shd w:val="clear" w:color="auto" w:fill="FFFFFF"/>
        </w:rPr>
        <w:t xml:space="preserve"> Аргаяшского сельского поселения</w:t>
      </w:r>
      <w:r w:rsidR="001947A1" w:rsidRPr="002A13D5">
        <w:rPr>
          <w:rFonts w:ascii="Times New Roman" w:hAnsi="Times New Roman" w:cs="Times New Roman"/>
          <w:bCs/>
        </w:rPr>
        <w:t xml:space="preserve"> </w:t>
      </w:r>
      <w:r w:rsidR="001947A1" w:rsidRPr="002A13D5">
        <w:rPr>
          <w:rFonts w:ascii="Times New Roman" w:hAnsi="Times New Roman" w:cs="Times New Roman"/>
        </w:rPr>
        <w:t>(п</w:t>
      </w:r>
      <w:r w:rsidR="001947A1" w:rsidRPr="002A13D5">
        <w:rPr>
          <w:rFonts w:ascii="Times New Roman" w:hAnsi="Times New Roman" w:cs="Times New Roman"/>
          <w:bCs/>
        </w:rPr>
        <w:t>лановая проверка) –</w:t>
      </w:r>
      <w:r w:rsidR="001947A1" w:rsidRPr="002A13D5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8" w:tgtFrame="_blank" w:history="1">
        <w:r w:rsidRPr="002A13D5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202475302318000001</w:t>
        </w:r>
      </w:hyperlink>
    </w:p>
    <w:p w:rsidR="001947A1" w:rsidRDefault="001947A1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A13D5" w:rsidRDefault="002A13D5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A13D5" w:rsidRPr="002A13D5" w:rsidRDefault="002A13D5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1947A1" w:rsidRPr="002A13D5" w:rsidRDefault="001947A1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A13D5">
        <w:rPr>
          <w:rFonts w:ascii="Times New Roman" w:eastAsia="Times New Roman" w:hAnsi="Times New Roman" w:cs="Times New Roman"/>
          <w:lang w:eastAsia="ru-RU"/>
        </w:rPr>
        <w:t>Начальник отдела внутреннего финансового контроля  и контроля</w:t>
      </w:r>
    </w:p>
    <w:p w:rsidR="001947A1" w:rsidRPr="001B05D0" w:rsidRDefault="001947A1" w:rsidP="001947A1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2A13D5">
        <w:rPr>
          <w:rFonts w:ascii="Times New Roman" w:eastAsia="Times New Roman" w:hAnsi="Times New Roman" w:cs="Times New Roman"/>
          <w:lang w:eastAsia="ru-RU"/>
        </w:rPr>
        <w:t xml:space="preserve">в сфере закупок администрации Аргаяшского муниципального района: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CBD" w:rsidRDefault="00EF7CBD" w:rsidP="00A12084">
      <w:pPr>
        <w:spacing w:after="0" w:line="240" w:lineRule="auto"/>
      </w:pPr>
      <w:r>
        <w:separator/>
      </w:r>
    </w:p>
  </w:endnote>
  <w:endnote w:type="continuationSeparator" w:id="1">
    <w:p w:rsidR="00EF7CBD" w:rsidRDefault="00EF7CBD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CBD" w:rsidRDefault="00EF7CBD" w:rsidP="00A12084">
      <w:pPr>
        <w:spacing w:after="0" w:line="240" w:lineRule="auto"/>
      </w:pPr>
      <w:r>
        <w:separator/>
      </w:r>
    </w:p>
  </w:footnote>
  <w:footnote w:type="continuationSeparator" w:id="1">
    <w:p w:rsidR="00EF7CBD" w:rsidRDefault="00EF7CBD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42C1808"/>
    <w:multiLevelType w:val="hybridMultilevel"/>
    <w:tmpl w:val="3686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3FE5E1B"/>
    <w:multiLevelType w:val="hybridMultilevel"/>
    <w:tmpl w:val="07DAABEA"/>
    <w:lvl w:ilvl="0" w:tplc="8AF0B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E27814"/>
    <w:multiLevelType w:val="hybridMultilevel"/>
    <w:tmpl w:val="07DAABEA"/>
    <w:lvl w:ilvl="0" w:tplc="8AF0B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E7DE9"/>
    <w:multiLevelType w:val="hybridMultilevel"/>
    <w:tmpl w:val="6D46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E5C92"/>
    <w:multiLevelType w:val="hybridMultilevel"/>
    <w:tmpl w:val="2ED2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F21AD"/>
    <w:multiLevelType w:val="hybridMultilevel"/>
    <w:tmpl w:val="07DAABEA"/>
    <w:lvl w:ilvl="0" w:tplc="8AF0B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5B3A6D"/>
    <w:multiLevelType w:val="hybridMultilevel"/>
    <w:tmpl w:val="07DAABEA"/>
    <w:lvl w:ilvl="0" w:tplc="8AF0B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4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17"/>
  </w:num>
  <w:num w:numId="5">
    <w:abstractNumId w:val="1"/>
  </w:num>
  <w:num w:numId="6">
    <w:abstractNumId w:val="3"/>
  </w:num>
  <w:num w:numId="7">
    <w:abstractNumId w:val="22"/>
  </w:num>
  <w:num w:numId="8">
    <w:abstractNumId w:val="20"/>
  </w:num>
  <w:num w:numId="9">
    <w:abstractNumId w:val="16"/>
  </w:num>
  <w:num w:numId="10">
    <w:abstractNumId w:val="9"/>
  </w:num>
  <w:num w:numId="11">
    <w:abstractNumId w:val="4"/>
  </w:num>
  <w:num w:numId="12">
    <w:abstractNumId w:val="26"/>
  </w:num>
  <w:num w:numId="13">
    <w:abstractNumId w:val="25"/>
  </w:num>
  <w:num w:numId="14">
    <w:abstractNumId w:val="10"/>
  </w:num>
  <w:num w:numId="15">
    <w:abstractNumId w:val="11"/>
  </w:num>
  <w:num w:numId="16">
    <w:abstractNumId w:val="2"/>
  </w:num>
  <w:num w:numId="17">
    <w:abstractNumId w:val="7"/>
  </w:num>
  <w:num w:numId="18">
    <w:abstractNumId w:val="15"/>
  </w:num>
  <w:num w:numId="19">
    <w:abstractNumId w:val="0"/>
  </w:num>
  <w:num w:numId="20">
    <w:abstractNumId w:val="24"/>
  </w:num>
  <w:num w:numId="21">
    <w:abstractNumId w:val="5"/>
  </w:num>
  <w:num w:numId="22">
    <w:abstractNumId w:val="13"/>
  </w:num>
  <w:num w:numId="23">
    <w:abstractNumId w:val="12"/>
  </w:num>
  <w:num w:numId="24">
    <w:abstractNumId w:val="21"/>
  </w:num>
  <w:num w:numId="25">
    <w:abstractNumId w:val="18"/>
  </w:num>
  <w:num w:numId="26">
    <w:abstractNumId w:val="1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0F6A2C"/>
    <w:rsid w:val="00107AC0"/>
    <w:rsid w:val="001114D0"/>
    <w:rsid w:val="00133606"/>
    <w:rsid w:val="001404BA"/>
    <w:rsid w:val="00145B1D"/>
    <w:rsid w:val="001659B9"/>
    <w:rsid w:val="0017055F"/>
    <w:rsid w:val="001841AD"/>
    <w:rsid w:val="001947A1"/>
    <w:rsid w:val="001A2513"/>
    <w:rsid w:val="001A3688"/>
    <w:rsid w:val="001B05D0"/>
    <w:rsid w:val="001B0CD0"/>
    <w:rsid w:val="001B3503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13D5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202C0"/>
    <w:rsid w:val="00321B85"/>
    <w:rsid w:val="00331997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02CA"/>
    <w:rsid w:val="00463B58"/>
    <w:rsid w:val="00473E95"/>
    <w:rsid w:val="00475737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61F18"/>
    <w:rsid w:val="006739C8"/>
    <w:rsid w:val="00676B8E"/>
    <w:rsid w:val="00687847"/>
    <w:rsid w:val="00695CD5"/>
    <w:rsid w:val="006A47C8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9737D"/>
    <w:rsid w:val="007A02E5"/>
    <w:rsid w:val="007A6130"/>
    <w:rsid w:val="007A69A5"/>
    <w:rsid w:val="007B36C5"/>
    <w:rsid w:val="007E2223"/>
    <w:rsid w:val="007F26DC"/>
    <w:rsid w:val="00800A0E"/>
    <w:rsid w:val="0080290A"/>
    <w:rsid w:val="00811338"/>
    <w:rsid w:val="0082481D"/>
    <w:rsid w:val="00834FD2"/>
    <w:rsid w:val="00837A1A"/>
    <w:rsid w:val="008460A5"/>
    <w:rsid w:val="00863DC4"/>
    <w:rsid w:val="00873796"/>
    <w:rsid w:val="0088008F"/>
    <w:rsid w:val="00882828"/>
    <w:rsid w:val="00887FB5"/>
    <w:rsid w:val="00895C88"/>
    <w:rsid w:val="008A0E9E"/>
    <w:rsid w:val="008A45AB"/>
    <w:rsid w:val="008D1F57"/>
    <w:rsid w:val="008D7D1D"/>
    <w:rsid w:val="0090194F"/>
    <w:rsid w:val="00914389"/>
    <w:rsid w:val="00920191"/>
    <w:rsid w:val="009412A6"/>
    <w:rsid w:val="00944F6A"/>
    <w:rsid w:val="009470A4"/>
    <w:rsid w:val="0096358D"/>
    <w:rsid w:val="00966E51"/>
    <w:rsid w:val="009968CE"/>
    <w:rsid w:val="009C24AB"/>
    <w:rsid w:val="009D3C71"/>
    <w:rsid w:val="009E2038"/>
    <w:rsid w:val="009E5114"/>
    <w:rsid w:val="009E6900"/>
    <w:rsid w:val="009F3D22"/>
    <w:rsid w:val="00A0505D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41C35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D398D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EF7CBD"/>
    <w:rsid w:val="00F03054"/>
    <w:rsid w:val="00F07245"/>
    <w:rsid w:val="00F1751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F23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12084"/>
  </w:style>
  <w:style w:type="paragraph" w:styleId="ac">
    <w:name w:val="footer"/>
    <w:basedOn w:val="a"/>
    <w:link w:val="ad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084"/>
  </w:style>
  <w:style w:type="character" w:customStyle="1" w:styleId="a7">
    <w:name w:val="Абзац списка Знак"/>
    <w:link w:val="a6"/>
    <w:uiPriority w:val="34"/>
    <w:locked/>
    <w:rsid w:val="000F6A2C"/>
  </w:style>
  <w:style w:type="paragraph" w:customStyle="1" w:styleId="formattext">
    <w:name w:val="formattext"/>
    <w:basedOn w:val="a"/>
    <w:rsid w:val="000F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icrRevisionId=99626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5</cp:revision>
  <cp:lastPrinted>2022-10-27T05:54:00Z</cp:lastPrinted>
  <dcterms:created xsi:type="dcterms:W3CDTF">2024-01-15T03:22:00Z</dcterms:created>
  <dcterms:modified xsi:type="dcterms:W3CDTF">2024-01-15T03:45:00Z</dcterms:modified>
</cp:coreProperties>
</file>