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44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4"/>
      </w:tblGrid>
      <w:tr>
        <w:trPr/>
        <w:tc>
          <w:tcPr>
            <w:tcW w:w="5144" w:type="dxa"/>
            <w:tcBorders/>
          </w:tcPr>
          <w:p>
            <w:pPr>
              <w:pStyle w:val="Normal"/>
              <w:spacing w:lineRule="auto" w:line="240"/>
              <w:jc w:val="left"/>
              <w:rPr>
                <w:rStyle w:val="11"/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>администрации Аргаяшского муниципального района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14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апреля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5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396</w:t>
            </w:r>
          </w:p>
        </w:tc>
      </w:tr>
    </w:tbl>
    <w:p>
      <w:pPr>
        <w:pStyle w:val="Normal"/>
        <w:spacing w:lineRule="auto" w:line="240"/>
        <w:jc w:val="left"/>
        <w:rPr>
          <w:rStyle w:val="1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>
          <w:rFonts w:eastAsia="Times New Roman" w:ascii="Tinos" w:hAnsi="Tinos"/>
          <w:color w:val="000000"/>
          <w:sz w:val="28"/>
          <w:szCs w:val="28"/>
          <w:u w:val="none"/>
          <w:lang w:eastAsia="en-US"/>
        </w:rPr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sz w:val="26"/>
          <w:szCs w:val="26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Style w:val="11"/>
          <w:rFonts w:eastAsia="Times New Roman"/>
          <w:color w:val="000000"/>
          <w:sz w:val="26"/>
          <w:szCs w:val="26"/>
          <w:lang w:eastAsia="en-US"/>
        </w:rPr>
        <w:t xml:space="preserve">на выполнение инженерных изысканий, необходимых для подготовки                    </w:t>
      </w:r>
      <w:r>
        <w:rPr>
          <w:rStyle w:val="11"/>
          <w:rFonts w:eastAsia="Times New Roman"/>
          <w:color w:val="000000"/>
          <w:spacing w:val="-4"/>
          <w:sz w:val="26"/>
          <w:szCs w:val="26"/>
          <w:lang w:eastAsia="en-US"/>
        </w:rPr>
        <w:t xml:space="preserve">документации по планировке территории (проект межевания территории в виде отдельного документа) в границах кадастрового квартала </w:t>
      </w:r>
      <w:r>
        <w:rPr>
          <w:rStyle w:val="11"/>
          <w:rFonts w:eastAsia="Times New Roman"/>
          <w:color w:val="000000"/>
          <w:spacing w:val="-4"/>
          <w:sz w:val="28"/>
          <w:szCs w:val="28"/>
          <w:lang w:eastAsia="en-US"/>
        </w:rPr>
        <w:t>74:02:0201154</w:t>
      </w:r>
    </w:p>
    <w:p>
      <w:pPr>
        <w:pStyle w:val="Normal"/>
        <w:spacing w:lineRule="auto" w:line="240"/>
        <w:jc w:val="center"/>
        <w:rPr/>
      </w:pPr>
      <w:r>
        <w:rPr>
          <w:sz w:val="26"/>
          <w:szCs w:val="26"/>
        </w:rPr>
        <w:t>(далее – документация по планировке территории)</w:t>
      </w:r>
    </w:p>
    <w:p>
      <w:pPr>
        <w:pStyle w:val="Normal"/>
        <w:spacing w:lineRule="auto" w:line="24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25" w:type="dxa"/>
        <w:jc w:val="left"/>
        <w:tblInd w:w="-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"/>
        <w:gridCol w:w="4084"/>
        <w:gridCol w:w="5078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Содержание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Сведения об объекте инженерных изысканий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spacing w:val="-4"/>
                <w:sz w:val="26"/>
                <w:szCs w:val="26"/>
                <w:lang w:eastAsia="en-US"/>
              </w:rPr>
              <w:t xml:space="preserve">в соответствии с границами документации по планировке территории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(проект межевания территории в виде отдельного документа) в границах кадастрового квартала 74:02:0201154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Основные требования к результатам инженерных изысканий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перечень нормативных правовых актов,                в соответствии с требованиями которых необходимо выполнять инженерные изыскания: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1) Федеральный закон от 30.12.2015                № 431-ФЗ «О геодезии, картографии                   и пространственных данных                              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2) постановление Правительства Российской Федерации от 31.03.2017                  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                                    в постановление Правительства Российской Федерации от 19.01.2006                          № 20»;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3) постановление Правительства Российской Федерации от 22.04.2017 № 485 «О составе материалов                                 и результатов инженерных изысканий, подлежащих размещению                             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                 и порядке их представления»;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4) СП 47.13330.2016 «Свод правил. Инженерные изыскания для строительства. Основные положения. Актуализированная редакция СНиП 11-02-96», утвержденный приказом Министерства строительства                              и жилищно-коммунального хозяйства                           Российской Федерации от 30.12.2016               № 1033/пр;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5) СП 438.1325800.2019 «Свод                правил. Инженерные изыскания                              при планировке территорий. Общие требования», утвержденный приказом Министерства строительства                          и жилищно-коммунального хозяйства Российской Федерации от 25.02.2019 № 127/пр;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6) СП 11-102-97 «Система нормативных документов в строительстве. Свод правил по инженерным изысканиям для строительства. Инженерно-экологические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Российской Федерации                    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7) СП 11-103-97 «Система нормативных документов в строительстве. Свод правил по инженерным изысканиям для строительства. Инженерно-гидрометеорологические изыскания для строительства», одобренный письмом Департамента развития научно-технической политики и проектно-изыскательских работ Госстроя Российской Федерации от 10.07.1997 № 9-1-1/69;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8) СП 11-104-97 «Система нормативных документов в строительстве. Свод правил по инженерным изысканиям для строительства. Инженерно-геодезические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России от 14.10.1997                       № 9-4/116;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z w:val="26"/>
                <w:szCs w:val="26"/>
                <w:lang w:eastAsia="en-US"/>
              </w:rPr>
              <w:t>9) СП 11-105-97 «Система нормативных документов в строительстве. Свод правил по инженерным изысканиям для строительства. Инженерно-геологические изыскания для строительства», одобренный письмом Департамента развития научно-технической политики              и проектно-изыскательских работ                    Госстроя России от 14.10.1997                       № 9-4/116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Границы территории проведения инженерных изысканий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 xml:space="preserve">Граница кадастрового квартала 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u w:val="none"/>
                <w:lang w:eastAsia="en-US"/>
              </w:rPr>
              <w:t>74:02:0201154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Виды инженерных изысканий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/>
                <w:color w:val="000000"/>
                <w:spacing w:val="-4"/>
                <w:sz w:val="26"/>
                <w:szCs w:val="26"/>
                <w:lang w:eastAsia="en-US"/>
              </w:rPr>
              <w:t>инженерно-геодезические изыскания</w:t>
            </w:r>
          </w:p>
        </w:tc>
      </w:tr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Описание планируемого к размещению объекта капитального строительства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6"/>
          <w:szCs w:val="26"/>
          <w:lang w:eastAsia="en-US"/>
        </w:rPr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  <w:tab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 разработки документации по планировке территории.</w:t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3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LibreOffice/7.6.0.3$Linux_X86_64 LibreOffice_project/69edd8b8ebc41d00b4de3915dc82f8f0fc3b6265</Application>
  <AppVersion>15.0000</AppVersion>
  <Pages>3</Pages>
  <Words>454</Words>
  <Characters>3636</Characters>
  <CharactersWithSpaces>4706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2025-04-16T09:15:37Z</cp:lastPrinted>
  <dcterms:modified xsi:type="dcterms:W3CDTF">2025-04-16T09:15:40Z</dcterms:modified>
  <cp:revision>74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