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№ 761 от 29.07.2025г.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bidi w:val="0"/>
        <w:jc w:val="center"/>
        <w:rPr>
          <w:rFonts w:ascii="Liberation Serif" w:hAnsi="Liberation Serif" w:cs="Liberation Serif"/>
          <w:kern w:val="2"/>
          <w:sz w:val="28"/>
          <w:szCs w:val="28"/>
          <w:lang w:eastAsia="hi-IN" w:bidi="hi-IN"/>
        </w:rPr>
      </w:pPr>
      <w:r>
        <w:rPr>
          <w:rFonts w:cs="Liberation Serif" w:ascii="Liberation Serif" w:hAnsi="Liberation Serif"/>
          <w:kern w:val="2"/>
          <w:sz w:val="28"/>
          <w:szCs w:val="28"/>
          <w:lang w:eastAsia="hi-IN" w:bidi="hi-IN"/>
        </w:rPr>
        <w:t>«Обеспечение общественного порядка, противодействие преступности и профилактика правонарушений на территории Аргаяшского муниципального района»</w:t>
      </w:r>
    </w:p>
    <w:p>
      <w:pPr>
        <w:pStyle w:val="Normal"/>
        <w:bidi w:val="0"/>
        <w:jc w:val="center"/>
        <w:rPr>
          <w:rFonts w:eastAsia="Arial"/>
          <w:b/>
          <w:bCs/>
          <w:kern w:val="2"/>
          <w:lang w:eastAsia="hi-IN" w:bidi="hi-IN"/>
        </w:rPr>
      </w:pPr>
      <w:r>
        <w:rPr>
          <w:rFonts w:eastAsia="Arial"/>
          <w:b/>
          <w:bCs/>
          <w:kern w:val="2"/>
          <w:lang w:eastAsia="hi-IN" w:bidi="hi-IN"/>
        </w:rPr>
        <w:t xml:space="preserve"> </w:t>
      </w:r>
    </w:p>
    <w:tbl>
      <w:tblPr>
        <w:tblW w:w="9570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5942"/>
      </w:tblGrid>
      <w:tr>
        <w:trPr/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Ответственный исполнитель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Администрация Аргаяшского муниципального района</w:t>
            </w:r>
          </w:p>
        </w:tc>
      </w:tr>
      <w:tr>
        <w:trPr/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Соисполнители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Межведомственная комиссия по профилактике правонарушений в Аргаяшском муниципальном районе.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Штаб народных дружин.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Комиссия по делам несовершеннолетних и защите их прав администрации Аргаяшского  муниципального района.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Управление образования Аргаяшского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района.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МКУ «Управление культуры, туризма и молодежной политики».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МУ «Физкультура и спорт».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Управление социальной защиты населения  Аргаяшского муниципального района (по согласованию).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ГБУЗ « Районная больница с. Аргаяш» (по согласованию).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Главы сельских поселений Аргаяшского муниципального района (по согласованию).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Отдел по Аргаяшскому району ОКУ ЦЗН города Кыштыма (по согласованию).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Отдел МВД России по Аргаяшскому району   Челябинской области (по согласованию).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Филиал ФКУ УИИ ГУФСИН России по Челябинской области (по согласованию).</w:t>
            </w:r>
          </w:p>
        </w:tc>
      </w:tr>
      <w:tr>
        <w:trPr>
          <w:trHeight w:val="309" w:hRule="atLeast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Цели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Формирование системы профилактики правонарушений, повышение качества  и результативности противодействия преступности, охраны общественного порядка, собственности, обеспечение общественной безопасности.</w:t>
            </w:r>
          </w:p>
        </w:tc>
      </w:tr>
      <w:tr>
        <w:trPr>
          <w:trHeight w:val="565" w:hRule="atLeast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Задачи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 Осуществление целенаправленной социально-правовой профилактики правонарушений.</w:t>
            </w:r>
          </w:p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2. Снижение уровня преступности за счет активизации участия и повышения координации деятельности органов власти и местного самоуправления в </w:t>
            </w:r>
            <w:r>
              <w:rPr>
                <w:rFonts w:cs="Times New Roman" w:ascii="Times New Roman" w:hAnsi="Times New Roman"/>
                <w:spacing w:val="-11"/>
                <w:sz w:val="28"/>
                <w:szCs w:val="28"/>
              </w:rPr>
              <w:t xml:space="preserve">предупреждении правонарушений 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вовлечения в деятельность по предупреждению правонарушений учреждений и организаций всех форм собственности, а также общественных организаций.</w:t>
            </w:r>
          </w:p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 О</w:t>
            </w:r>
            <w:r>
              <w:rPr>
                <w:rFonts w:cs="Times New Roman" w:ascii="Times New Roman" w:hAnsi="Times New Roman"/>
                <w:color w:val="000000"/>
                <w:spacing w:val="3"/>
                <w:sz w:val="28"/>
                <w:szCs w:val="28"/>
              </w:rPr>
              <w:t>казание содействия добровольным общественным формированиям правоохранительной направленности.</w:t>
            </w:r>
          </w:p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 Активизация работы по предупреждению и профилактике правонарушений, совершаемых на улицах, в общественных местах, рецидивной, «пьяной», «бытовой» преступности, а также правонарушений, совершаемых несовершеннолетними.</w:t>
            </w:r>
          </w:p>
          <w:p>
            <w:pPr>
              <w:pStyle w:val="Normal"/>
              <w:widowControl w:val="false"/>
              <w:shd w:val="clear" w:fill="FFFFFF"/>
              <w:bidi w:val="0"/>
              <w:ind w:hanging="0" w:left="34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3"/>
                <w:sz w:val="28"/>
                <w:szCs w:val="28"/>
              </w:rPr>
              <w:t>5. Ресоциализация лиц, отбывших уголовное наказание в виде лишения свободы и (или) подвергшихся иным мерам уголовно-правового характера, в целях реинтеграции в общество.</w:t>
            </w:r>
          </w:p>
        </w:tc>
      </w:tr>
      <w:tr>
        <w:trPr/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Целевые индикаторы и  показатели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1. Количество выявленных с участием общественности правонарушений, в общем количестве правонарушений (единиц):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2025 год — 70;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2026 год — 75;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2027 год — 77.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2. Количество раскрытых преступлений с участием</w:t>
            </w:r>
            <w:r>
              <w:rPr>
                <w:rFonts w:cs="Times New Roman" w:ascii="Times New Roman" w:hAnsi="Times New Roman"/>
                <w:color w:val="000000"/>
                <w:spacing w:val="3"/>
                <w:kern w:val="2"/>
                <w:sz w:val="28"/>
                <w:szCs w:val="28"/>
                <w:lang w:eastAsia="hi-IN" w:bidi="hi-IN"/>
              </w:rPr>
              <w:t xml:space="preserve"> общественных формирований правоохранительной направленности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2025 год — 6;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2026 год — 7;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2027 год — 8.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3. Обеспечение условий для службы участковых уполномоченных полиции Отдела (количество помещений):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kern w:val="2"/>
                <w:sz w:val="28"/>
                <w:szCs w:val="28"/>
                <w:lang w:eastAsia="hi-IN" w:bidi="hi-IN"/>
              </w:rPr>
              <w:t>2025 год — 1;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2026 год — 1;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2027 год — 1.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4. Количество несовершеннолетних и молодежи, принявших участие в профилактических мероприятиях, от общего количества (%):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kern w:val="2"/>
                <w:sz w:val="28"/>
                <w:szCs w:val="28"/>
                <w:lang w:eastAsia="hi-IN" w:bidi="hi-IN"/>
              </w:rPr>
              <w:t>2025 год — 90;</w:t>
            </w:r>
          </w:p>
          <w:p>
            <w:pPr>
              <w:pStyle w:val="Normal"/>
              <w:widowControl w:val="false"/>
              <w:bidi w:val="0"/>
              <w:snapToGrid w:val="false"/>
              <w:jc w:val="left"/>
              <w:rPr/>
            </w:pPr>
            <w:r>
              <w:rPr>
                <w:rFonts w:cs="Liberation Serif" w:ascii="Liberation Serif" w:hAnsi="Liberation Serif"/>
                <w:color w:val="000000"/>
                <w:sz w:val="28"/>
                <w:szCs w:val="28"/>
              </w:rPr>
              <w:t>2026 год — 95;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2027 год — 95.</w:t>
            </w:r>
          </w:p>
        </w:tc>
      </w:tr>
      <w:tr>
        <w:trPr>
          <w:trHeight w:val="274" w:hRule="atLeast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Сроки реализации муниципальной программы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2025 - 2027 годы.</w:t>
            </w:r>
          </w:p>
        </w:tc>
      </w:tr>
      <w:tr>
        <w:trPr>
          <w:trHeight w:val="274" w:hRule="atLeas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>Объемы бюджетных ассигнований муниципальной программы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Общий объем финансирования на реализацию муниципальной программы за счет средств бюджета Аргаяшского муниципального района составляет 630,0 тыс. руб., в том числе: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2025 год — 210,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тысяч. руб;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2026 год - 210,0 тысяч. руб;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2027 год - 210,0 тысяч. руб.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финансирования подлежит уточнению при формировании проекта бюджета на соответствующий финансовый год.</w:t>
            </w:r>
          </w:p>
        </w:tc>
      </w:tr>
      <w:tr>
        <w:trPr>
          <w:trHeight w:val="274" w:hRule="atLeast"/>
        </w:trPr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Liberation Serif" w:ascii="Liberation Serif" w:hAnsi="Liberation Serif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Достижение запланированных индикативных показателей к 2027 году: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1. Количество выявленных с участием общественности правонарушений, в общем количестве правонарушений не менее 77.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2. Количество раскрытых преступлений с участием </w:t>
            </w:r>
            <w:r>
              <w:rPr>
                <w:rFonts w:cs="Times New Roman" w:ascii="Times New Roman" w:hAnsi="Times New Roman"/>
                <w:color w:val="000000"/>
                <w:spacing w:val="3"/>
                <w:kern w:val="2"/>
                <w:sz w:val="28"/>
                <w:szCs w:val="28"/>
                <w:lang w:eastAsia="hi-IN" w:bidi="hi-IN"/>
              </w:rPr>
              <w:t xml:space="preserve">общественных формирований правоохранительной направленности </w:t>
            </w: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(не менее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8.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3. Количество несовершеннолетних и молодежи, принявших участие в профилактических мероприятиях, от общего количества не менее</w:t>
            </w: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eastAsia="hi-IN" w:bidi="hi-IN"/>
              </w:rPr>
              <w:t xml:space="preserve"> 95%.</w:t>
            </w:r>
          </w:p>
        </w:tc>
      </w:tr>
    </w:tbl>
    <w:p>
      <w:pPr>
        <w:pStyle w:val="Normal"/>
        <w:bidi w:val="0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1. СОДЕРЖАНИЕ ПРОБЛЕМЫ И ОБОСНОВАНИЕ</w:t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НЕОБХОДИМОСТИ ЕЕ РЕШЕНИЯ ПРОГРАММНЫМИ МЕТОДАМИ</w:t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Профилактика правонарушений и противодействие преступности, обеспечение общественного порядка являются непременным условием стабильного существования и поступательного развития общества, создания достойных условий и уровня жизни граждан.</w:t>
      </w:r>
    </w:p>
    <w:p>
      <w:pPr>
        <w:pStyle w:val="Normal"/>
        <w:bidi w:val="0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Роль администрации Аргаяшского  муниципального района состоит в объединении интересов и усилий правоохранительных органов, органов местного самоуправления, негосударственных организаций и общественности в борьбе с преступностью и профилактике правонарушений, так как усилия одних лишь правоохранительных органов недостаточны в современных условиях.</w:t>
      </w:r>
    </w:p>
    <w:p>
      <w:pPr>
        <w:pStyle w:val="Normal"/>
        <w:bidi w:val="0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Программный подход необходим для того, чтобы в рамках муниципальной программы сконцентрировать имеющиеся возможности и ресурсы на решение ключевых проблем в правоохранительной сфере, обеспечить сбалансированность и последовательность решения стоящих задач, совершенствовать механизмы развития системы профилактики правонарушений.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Целевым предназначением муниципальной программы «Обеспечение общественного порядка, противодействие преступности и профилактика правонарушений на территории Аргаяшского муниципального района» на 2025 - 2027 годы (далее - муниципальная программа) является нейтрализация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Приоритетным направлением данной муниципальной программы является профилактика правонарушений, борьба с пьянством, наркоманией, курением в среде несовершеннолетних, а также проведение различных мероприятий с целью повышения уровня правового сознания населения Аргаяшского муниципального района.  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Предусмотренные муниципальной программой меры основаны на изучении главных криминологических тенденций, прогнозируемых оценках их дальнейшего развития, сложившейся практике и опыте проведения профилактической работы.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ab/>
        <w:t>Настоящая муниципальная программа подготовлена на основе предложений правоохранительных органов, подведомственных учреждений Аргаяшского муниципального района и решениями межведомственной комиссии по профилактике правонарушений на территории района. Она отражает стратегию правоохранительной деятельности по приоритетным направлениям в организации профилактики правонарушений и содержит меры, осуществление которых позволит обеспечить достижение целей и решений основных задач муниципальной программы.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Эффективность программных мероприятий должна оказать положительное влияние на состояние правопорядка. Проведение комплекса мероприятий, направленных на обеспечение общественного порядка, противодействие преступности и профилактику правонарушений позволят в определенной мере стабилизировать криминогенную обстановку на территории Аргаяшского муниципального района, решить наиболее острые проблемы в части создания положительных тенденций повышения уровня профилактики правонарушений, законопослушного образа жизни.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Активизация работы общественных формирований правоохранительной направленности позволит уменьшить число преступлений, совершаемых несовершеннолетними, и вовлечь данную категорию в профилактические мероприятия предусмотренные данной муниципальной программой.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2. ОСНОВНЫЕ ЦЕЛИ И ЗАДАЧИ МУНИЦИПАЛЬНОЙ ПРОГРАММЫ</w:t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/>
      </w:pPr>
      <w:r>
        <w:rPr>
          <w:rFonts w:cs="Liberation Serif" w:ascii="Liberation Serif" w:hAnsi="Liberation Serif"/>
          <w:kern w:val="2"/>
          <w:sz w:val="28"/>
          <w:szCs w:val="28"/>
          <w:lang w:eastAsia="hi-IN" w:bidi="hi-IN"/>
        </w:rPr>
        <w:t xml:space="preserve">Целью муниципальной программы является </w:t>
      </w: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формирование системы профилактики правонарушений, повышение качества и результативности противодействия преступности, охраны общественного порядка, собственности, обеспечение общественной безопасности.</w:t>
      </w:r>
    </w:p>
    <w:p>
      <w:pPr>
        <w:pStyle w:val="Normal"/>
        <w:widowControl/>
        <w:bidi w:val="0"/>
        <w:ind w:firstLine="737"/>
        <w:jc w:val="both"/>
        <w:rPr/>
      </w:pPr>
      <w:r>
        <w:rPr>
          <w:rFonts w:cs="Liberation Serif" w:ascii="Liberation Serif" w:hAnsi="Liberation Serif"/>
          <w:color w:val="000000"/>
          <w:kern w:val="2"/>
          <w:sz w:val="28"/>
          <w:szCs w:val="28"/>
          <w:lang w:eastAsia="hi-IN" w:bidi="hi-IN"/>
        </w:rPr>
        <w:t>Для достижения цели муниципальной программы необходимо реализовать ряд ключевых з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адач:</w:t>
      </w:r>
    </w:p>
    <w:p>
      <w:pPr>
        <w:pStyle w:val="Normal"/>
        <w:widowControl/>
        <w:bidi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Осуществление целенаправленной социально - правовой профилактики правонарушений.</w:t>
      </w:r>
    </w:p>
    <w:p>
      <w:pPr>
        <w:pStyle w:val="Normal"/>
        <w:widowControl/>
        <w:bidi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Обеспечение доступности информации и увеличение охвата информационным воздействием о видах и способах совершения преступлений с использованием информационно - телекоммуникационных технологий, а также о возможных мерах по защите от противоправных деяний в процессе проведения профилактических мероприятий.</w:t>
      </w:r>
    </w:p>
    <w:p>
      <w:pPr>
        <w:pStyle w:val="Normal"/>
        <w:widowControl/>
        <w:bidi w:val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 Снижение уровня преступности за счет активизации участия и повышения координации деятельности органов власти и местного самоуправления в 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предупреждении правонарушений и </w:t>
      </w:r>
      <w:r>
        <w:rPr>
          <w:rFonts w:cs="Times New Roman" w:ascii="Times New Roman" w:hAnsi="Times New Roman"/>
          <w:sz w:val="28"/>
          <w:szCs w:val="28"/>
        </w:rPr>
        <w:t>вовлечения в деятельность по предупреждению правонарушений учреждений и организаций всех форм собственности, а также общественных организаций.</w:t>
      </w:r>
    </w:p>
    <w:p>
      <w:pPr>
        <w:pStyle w:val="Normal"/>
        <w:widowControl/>
        <w:bidi w:val="0"/>
        <w:ind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О</w:t>
      </w:r>
      <w:r>
        <w:rPr>
          <w:rFonts w:cs="Times New Roman" w:ascii="Times New Roman" w:hAnsi="Times New Roman"/>
          <w:color w:val="000000"/>
          <w:spacing w:val="3"/>
          <w:sz w:val="28"/>
          <w:szCs w:val="28"/>
        </w:rPr>
        <w:t>казание содействия добровольным общественным формированиям правоохранительной направленности.</w:t>
      </w:r>
    </w:p>
    <w:p>
      <w:pPr>
        <w:pStyle w:val="Normal"/>
        <w:widowControl/>
        <w:bidi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Активизация работы по предупреждению и профилактике правонарушений, совершаемых на улицах, в общественных местах, рецидивной, «пьяной», «бытовой» преступности, а также правонарушений, совершаемых несовершеннолетними.</w:t>
      </w:r>
    </w:p>
    <w:p>
      <w:pPr>
        <w:pStyle w:val="Normal"/>
        <w:widowControl/>
        <w:bidi w:val="0"/>
        <w:ind w:firstLine="737"/>
        <w:jc w:val="both"/>
        <w:rPr>
          <w:rFonts w:ascii="Times New Roman" w:hAnsi="Times New Roman" w:cs="Times New Roman"/>
          <w:color w:val="000000"/>
          <w:spacing w:val="3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color w:val="000000"/>
          <w:spacing w:val="3"/>
          <w:kern w:val="2"/>
          <w:sz w:val="28"/>
          <w:szCs w:val="28"/>
          <w:lang w:eastAsia="hi-IN" w:bidi="hi-IN"/>
        </w:rPr>
        <w:t>6. Ресоциализация лиц, отбывших уголовное наказание в виде лишения свободы и (или) подвергшихся иным мерам уголовно-правового характера, в целях реинтеграции в общество.</w:t>
      </w:r>
    </w:p>
    <w:p>
      <w:pPr>
        <w:pStyle w:val="Normal"/>
        <w:widowControl/>
        <w:bidi w:val="0"/>
        <w:ind w:firstLine="567"/>
        <w:jc w:val="both"/>
        <w:rPr>
          <w:rFonts w:ascii="Times New Roman" w:hAnsi="Times New Roman" w:cs="Times New Roman"/>
          <w:spacing w:val="3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spacing w:val="3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  <w:lang w:eastAsia="en-US"/>
        </w:rPr>
        <w:t>Раздел 3. ПЕРЕЧЕНЬ ЦЕЛЕВЫХ ИНДИКАТОРОВ И ПОКАЗАТЕЛЕЙ МУНИЦИПАЛЬНОЙ ПРОГРАММЫ</w:t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  <w:lang w:eastAsia="en-US"/>
        </w:rPr>
      </w:r>
    </w:p>
    <w:p>
      <w:pPr>
        <w:pStyle w:val="Normal"/>
        <w:widowControl/>
        <w:bidi w:val="0"/>
        <w:ind w:firstLine="737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cs="Liberation Serif" w:ascii="Liberation Serif" w:hAnsi="Liberation Serif"/>
          <w:sz w:val="28"/>
          <w:szCs w:val="28"/>
          <w:lang w:eastAsia="en-US"/>
        </w:rPr>
        <w:t>Целевыми индикаторами муниципальной программы с плановыми значениями по годам являются:</w:t>
      </w:r>
    </w:p>
    <w:p>
      <w:pPr>
        <w:pStyle w:val="Normal"/>
        <w:widowControl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1. Количество выявленных с участием общественности правонарушений, в общем количестве правонарушений (единиц):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2025 год — 70;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2026 год — 75;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2027 год — 77;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2. Количество раскрытых преступлений с участием</w:t>
      </w:r>
      <w:r>
        <w:rPr>
          <w:rFonts w:cs="Times New Roman" w:ascii="Times New Roman" w:hAnsi="Times New Roman"/>
          <w:color w:val="000000"/>
          <w:spacing w:val="3"/>
          <w:kern w:val="2"/>
          <w:sz w:val="28"/>
          <w:szCs w:val="28"/>
          <w:lang w:eastAsia="hi-IN" w:bidi="hi-IN"/>
        </w:rPr>
        <w:t xml:space="preserve"> общественных формирований правоохранительной направленности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2025 год — 6;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2026 год — 7;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2027 год — 8;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3. Обеспечение условий для службы участковых уполномоченных полиции Отдела (количество помещений):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kern w:val="2"/>
          <w:sz w:val="28"/>
          <w:szCs w:val="28"/>
          <w:lang w:eastAsia="hi-IN" w:bidi="hi-IN"/>
        </w:rPr>
        <w:t>2025 год — 1;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2026 год — 1;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2027 год — 1.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4. Количество несовершеннолетних и молодежи, принявших участие в профилактических мероприятиях, от общего количества (%):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kern w:val="2"/>
          <w:sz w:val="28"/>
          <w:szCs w:val="28"/>
          <w:lang w:eastAsia="hi-IN" w:bidi="hi-IN"/>
        </w:rPr>
        <w:t>2025 год — 90;</w:t>
      </w:r>
    </w:p>
    <w:p>
      <w:pPr>
        <w:pStyle w:val="Normal"/>
        <w:widowControl w:val="false"/>
        <w:suppressAutoHyphens w:val="true"/>
        <w:overflowPunct w:val="true"/>
        <w:bidi w:val="0"/>
        <w:snapToGrid w:val="false"/>
        <w:spacing w:lineRule="auto" w:line="240" w:before="0" w:after="0"/>
        <w:ind w:firstLine="737" w:left="0" w:right="0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2026 год — 95;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kern w:val="2"/>
          <w:lang w:eastAsia="hi-IN" w:bidi="hi-IN"/>
        </w:rPr>
        <w:t>2027 год — 95.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4. СРОКИ РЕАЛИЗАЦИИ МУНИЦИПАЛЬНОЙ ПРОГРАММЫ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Реализация муниципальной программы рассчитана на 2025-2027 годы.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5. СИСТЕМА МЕРОПРИЯТИЙ  МУНИЦИПАЛЬНОЙ ПРОГРАММЫ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/>
      </w:pP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В соответствии с поставленной целью реализация муниципальной прог</w:t>
      </w:r>
      <w:r>
        <w:rPr>
          <w:rFonts w:cs="Liberation Serif" w:ascii="Liberation Serif" w:hAnsi="Liberation Serif"/>
          <w:color w:val="000000"/>
          <w:kern w:val="2"/>
          <w:sz w:val="28"/>
          <w:szCs w:val="28"/>
          <w:lang w:eastAsia="hi-IN" w:bidi="hi-IN"/>
        </w:rPr>
        <w:t xml:space="preserve">раммы осуществляется через систему программных мероприятий, направленных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 xml:space="preserve">на обеспечение общественного порядка, противодействие преступности и профилактику правонарушений </w:t>
      </w:r>
      <w:r>
        <w:rPr>
          <w:rFonts w:cs="Liberation Serif" w:ascii="Liberation Serif" w:hAnsi="Liberation Serif"/>
          <w:color w:val="000000"/>
          <w:kern w:val="2"/>
          <w:sz w:val="28"/>
          <w:szCs w:val="28"/>
          <w:lang w:eastAsia="hi-IN" w:bidi="hi-IN"/>
        </w:rPr>
        <w:t xml:space="preserve"> на территории Аргаяшского муниципального района.</w:t>
      </w:r>
    </w:p>
    <w:p>
      <w:pPr>
        <w:pStyle w:val="Normal"/>
        <w:bidi w:val="0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Перечень программных мероприятий с указанием сроков их реализации, исполнителей, объемов и источников финансирования изложен в Приложении к настоящей муниципальной программе.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Раздел 6. ОСНОВНЫЕ МЕРЫ ПРАВОВОГО РЕГУЛИРОВАНИЯ В СФЕРЕ РЕАЛИЗАЦИИ МУНИЦИПАЛЬНОЙ ПРОГРАММЫ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Правовую систему комплексной муниципальной программы составляют Конституция Российской Федерации, Кодекс Российской Федерации об административных правонарушениях, Федеральный закон от 23.06.2016 № 182-ФЗ «Об основах системы профилактики правонарушений в Российской Федерации», распоряжение Правительства Челябинской области от 06.02.2023 № 72-рп «О региональной программе Челябинской области «Профилактика преступлений, совершаемых с использованием информационно-телекоммуникационных технологий, на территории Челябинской области на 2023 - 2025 годы», иные нормативные правовые акты.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7. РЕСУРСНОЕ ОБЕСПЕЧЕНИЕ МУНИЦИПАЛЬНОЙ ПРОГРАММЫ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финансирования на реализацию муниципальной программы за счет средств бюджета Аргаяшского муниципального района составляет 630,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тыс. руб., в т.ч.: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 год — 210,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тыс. руб;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2026 год - 210,0 тыс. руб;</w:t>
      </w:r>
    </w:p>
    <w:p>
      <w:pPr>
        <w:pStyle w:val="ConsPlusNormal"/>
        <w:widowControl w:val="false"/>
        <w:suppressAutoHyphens w:val="true"/>
        <w:overflowPunct w:val="true"/>
        <w:bidi w:val="0"/>
        <w:spacing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2027 год - 210,0 тыс. руб.</w:t>
      </w:r>
    </w:p>
    <w:p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финансирования подлежит уточнению при формировании проекта бюджета на соответствующий финансовый год.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Раздел 8. ОРГАНИЗАЦИЯ УПРАВЛЕНИЯ И МЕХАНИЗМ РЕАЛИЗАЦИИ МУНИЦИПАЛЬНОЙ ПРОГРАММЫ</w:t>
      </w:r>
    </w:p>
    <w:p>
      <w:pPr>
        <w:pStyle w:val="Normal"/>
        <w:bidi w:val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Механизм реализации муниципальной программы основывается на четком разграничении полномочий и ответственности всех исполнителей муниципальной программы.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Ответственным исполнителем муниципальной программы является администрация Аргаяшского муниципального района.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Соисполнители муниципальной программы: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Межведомственная комиссия по профилактике правонарушений в Аргаяшском муниципальном районе;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Штаб народных дружин;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Комиссия по делам несовершеннолетних и защите их прав администрации Аргаяшского  муниципального района; </w:t>
      </w:r>
    </w:p>
    <w:p>
      <w:pPr>
        <w:pStyle w:val="Normal"/>
        <w:bidi w:val="0"/>
        <w:ind w:firstLine="737"/>
        <w:jc w:val="both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Управление образования Аргаяшского </w:t>
      </w:r>
      <w:r>
        <w:rPr>
          <w:rFonts w:cs="Times New Roman" w:ascii="Times New Roman" w:hAnsi="Times New Roman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 района;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МКУ «Управление культуры, туризма и молодежной политики»;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МУ «Физкультура и спорт»;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Управление социальной защиты населения  Аргаяшского муниципального района;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ГБУЗ « Районная больница с. Аргаяш»;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Главы сельских поселений Аргаяшского муниципального района;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Отдел по Аргаяшскому району ОКУ ЦЗН города Кыштыма (по согласованию);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Отдел МВД России по Аргаяшскому району   Челябинской области (по согласованию); 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Филиал ФКУ УИИ ГУФСИН России по Челябинской области (по согласованию).</w:t>
      </w:r>
    </w:p>
    <w:p>
      <w:pPr>
        <w:pStyle w:val="Normal"/>
        <w:widowControl/>
        <w:bidi w:val="0"/>
        <w:ind w:firstLine="73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Ответственный исполнитель запрашивает у соисполнителей, ответственных за выполнение мероприятий муниципальной программы, информацию о ходе их исполнения. </w:t>
      </w:r>
    </w:p>
    <w:p>
      <w:pPr>
        <w:pStyle w:val="Normal"/>
        <w:widowControl/>
        <w:bidi w:val="0"/>
        <w:ind w:firstLine="73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перечни и состав мероприятий, сроки их реализации.  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Межведомственная комиссия по профилактике правонарушений в Аргаяшском муниципальном районе осуществляет организацию, координацию деятельности при реализации программных мероприятий, вносит в установленном порядке предложения по уточнению, корректировке мероприятий муниципальной программы с учетом складывающейся криминогенной ситуации.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Соисполнители муниципальной программы – в рамках своей компетенции: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а) участвуют в разработке предложений по внесению изменений в перечни и состав мероприятий муниципальной программы;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б) осуществляют реализацию мероприятий муниципальной программы, несут ответственность за качество их выполнения, рациональное и эффективное использование выделяемых финансовых средств;</w:t>
      </w:r>
    </w:p>
    <w:p>
      <w:pPr>
        <w:pStyle w:val="Normal"/>
        <w:bidi w:val="0"/>
        <w:ind w:firstLine="737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 xml:space="preserve">в) представляют ответственному исполнителю информацию, необходимую для подготовки ответов на запросы, для проведения оценки эффективности муниципальной программы и подготовки годового отчета, а также отчеты о ходе реализации программных мероприятий. </w:t>
      </w:r>
    </w:p>
    <w:p>
      <w:pPr>
        <w:pStyle w:val="Normal"/>
        <w:bidi w:val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shd w:fill="FFFF00" w:val="clear"/>
          <w:lang w:eastAsia="hi-IN" w:bidi="hi-IN"/>
        </w:rPr>
      </w:pPr>
      <w:r>
        <w:rPr>
          <w:rFonts w:cs="Times New Roman" w:ascii="Times New Roman" w:hAnsi="Times New Roman"/>
          <w:kern w:val="2"/>
          <w:sz w:val="28"/>
          <w:szCs w:val="28"/>
          <w:shd w:fill="FFFF00" w:val="clear"/>
          <w:lang w:eastAsia="hi-IN" w:bidi="hi-IN"/>
        </w:rPr>
      </w:r>
    </w:p>
    <w:p>
      <w:pPr>
        <w:pStyle w:val="Normal"/>
        <w:widowControl/>
        <w:bidi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Раздел 9. АНАЛИЗ РИСКОВ И МЕРЫ ПО УПРАВЛЕНИЮ РИСКАМИ </w:t>
      </w:r>
    </w:p>
    <w:p>
      <w:pPr>
        <w:pStyle w:val="Normal"/>
        <w:widowControl/>
        <w:bidi w:val="0"/>
        <w:ind w:firstLine="567"/>
        <w:jc w:val="both"/>
        <w:rPr/>
      </w:pPr>
      <w:r>
        <w:rPr/>
      </w:r>
    </w:p>
    <w:p>
      <w:pPr>
        <w:pStyle w:val="Normal"/>
        <w:widowControl/>
        <w:bidi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Важное значение для успешной реализации муниципальной программы  имеет прогнозирование возможных рисков, связанных с достижением основной цели, решением задач, оценка их масштабов и последствий, а также формирование системы мер по их предотвращению.</w:t>
      </w:r>
    </w:p>
    <w:p>
      <w:pPr>
        <w:pStyle w:val="Normal"/>
        <w:widowControl/>
        <w:bidi w:val="0"/>
        <w:ind w:firstLine="567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 xml:space="preserve">В процессе реализации муниципальной программы </w:t>
      </w:r>
      <w:r>
        <w:rPr>
          <w:rFonts w:cs="Liberation Serif" w:ascii="Liberation Serif" w:hAnsi="Liberation Serif"/>
          <w:sz w:val="28"/>
          <w:szCs w:val="28"/>
        </w:rPr>
        <w:t>может проявиться ряд рисков:</w:t>
      </w:r>
    </w:p>
    <w:p>
      <w:pPr>
        <w:pStyle w:val="Normal"/>
        <w:widowControl/>
        <w:bidi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1) Недостатки в управлении муниципальной программой. В случае выявления лучших практик реализации программных мероприятий в муниципальную программу могут быть внесены изменения, связанные с оптимизацией этих мероприятий.</w:t>
      </w:r>
    </w:p>
    <w:p>
      <w:pPr>
        <w:pStyle w:val="Normal"/>
        <w:widowControl/>
        <w:bidi w:val="0"/>
        <w:ind w:firstLine="567"/>
        <w:jc w:val="both"/>
        <w:rPr/>
      </w:pPr>
      <w:r>
        <w:rPr>
          <w:rFonts w:cs="Liberation Serif" w:ascii="Liberation Serif" w:hAnsi="Liberation Serif"/>
          <w:sz w:val="28"/>
          <w:szCs w:val="28"/>
        </w:rPr>
        <w:t>2) </w:t>
      </w:r>
      <w:r>
        <w:rPr>
          <w:rFonts w:cs="Liberation Serif" w:ascii="Liberation Serif" w:hAnsi="Liberation Serif"/>
          <w:color w:val="000000"/>
          <w:sz w:val="28"/>
          <w:szCs w:val="28"/>
        </w:rPr>
        <w:t>Правовые риски (связаны с изменением федерального законодательства, длительностью формирования нормативно - правовой базы, необходимой для эффективной реализации муниципально программы). Это может привести к существенному увеличению планируемых сроков или изменению условий реализации мероприятий муниципальной программы. Для минимизации воздействия данной группы рисков планируется: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 проводить мониторинг планируемых изменений в федеральном законодательстве.</w:t>
      </w:r>
    </w:p>
    <w:p>
      <w:pPr>
        <w:pStyle w:val="Normal"/>
        <w:widowControl/>
        <w:bidi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3) Финансовые риски (связаны с возникновением бюджетного дефицита, что может повлечь недофинансирование, сокращение или прекращение программных мероприятий). Способами ограничения финансовых рисков выступают: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 планирование бюджетных расходов с применением методик оценки эффективности бюджетных расходов.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10. ОЖИДАЕМЫЕ РЕЗУЛЬТАТЫ РЕАЛИЗАЦИИ МУНИЦИПАЛЬНОЙ ПРОГРАММЫ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widowControl/>
        <w:bidi w:val="0"/>
        <w:ind w:firstLine="567"/>
        <w:jc w:val="both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Ожидаемыми результатами реализации настоящей муниципальной программы является д</w:t>
      </w: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остижение запланированных индикативных показателей к 2027 году: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1. Количество выявленных с участием общественности правонарушений, в общем количестве правонарушений не менее 77;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hi-IN" w:bidi="hi-IN"/>
        </w:rPr>
        <w:t>2. Количество раскрытых преступлений с участием добровольной народной дружины не менее</w:t>
      </w:r>
      <w:r>
        <w:rPr>
          <w:rFonts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 xml:space="preserve"> 8;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Liberation Serif" w:cs="Times New Roman" w:ascii="Times New Roman" w:hAnsi="Times New Roman"/>
          <w:kern w:val="2"/>
          <w:sz w:val="28"/>
          <w:szCs w:val="28"/>
          <w:lang w:eastAsia="hi-IN" w:bidi="hi-IN"/>
        </w:rPr>
        <w:t>3. Количество несовершеннолетних и молодежи, принявших участие в профилактических мероприятиях, от общего количества не менее 95%.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cs="Liberation Serif" w:ascii="Liberation Serif" w:hAnsi="Liberation Serif"/>
          <w:color w:val="000000"/>
          <w:sz w:val="28"/>
          <w:szCs w:val="28"/>
        </w:rPr>
        <w:t>Раздел 11</w:t>
      </w:r>
      <w:r>
        <w:rPr>
          <w:rFonts w:cs="Liberation Serif" w:ascii="Liberation Serif" w:hAnsi="Liberation Serif"/>
          <w:sz w:val="28"/>
          <w:szCs w:val="28"/>
        </w:rPr>
        <w:t>. МЕТОДИКА ОЦЕНКИ ЭФФЕКТИВНОСТИ МУНИЦИПАЛЬНОЙ ПРОГРАММЫ</w:t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Оценка эффективности реализации муниципальной программы проводится для обеспечения ответственного исполнителя оперативной информацией о ходе и промежуточных результатах выполнения мероприятий, решения задач и реализации целей муниципальной программы.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Ответственный исполнитель муниципальной программы использует результаты оценки эффективности ее выполнения при принятии решений: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- о корректировке сведений о планируемых значениях показателей муниципальной программы на текущий год;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- о формировании плана реализации муниципальной программы на очередной год;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- о подготовке предложений по корректировке муниципальной программы в случае выявления факторов, существенно влияющих на ход реализации муниципальной программы.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Методика оценки эффективности муниципальной программы учитывает необходимость проведения следующих оценок: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1. Степень достижения целей и решения задач муниципальной программы.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Оценка степени достижения целей и решения задач муниципальной программы определяется путем сопоставления фактически достигнутых значений показателей (индикаторов) муниципальной программы и их плановых значений по формуле: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center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СДЦ= (СДП1 + СДП2 + СДПN) / N, где: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СДЦ - степень достижения целей (решения задач),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СДП - степень достижения показателя (индикатора) муниципальной программы,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N - количество показателей (индикаторов) муниципальной программы. 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2. Степень достижения показателя (индикатора) муниципальной программы рассчитывается по формуле: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center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СДП = ЗФ / ЗП x 100%, где: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ЗФ - фактическое значение показателя (индикатора) муниципальной программы,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ЗП - плановое значение показателя (индикатора) муниципальной программы.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3. Степень соответствия запланированному уровню затрат и эффективности использования средств ресурсного обеспечения муниципальной программы рассчитывается по формуле: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center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УФ = ФФ / ФП x 100%, где: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УФ - уровень финансирования реализации основных мероприятий муниципальной программы,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ФФ - фактический объем финансовых ресурсов, направленный на реализацию мероприятий муниципальной программы,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ФП - плановый объем финансовых ресурсов на реализацию муниципальной программы на соответствующий отчетный период.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4. Эффективность реализации муниципальной программы рассчитывается по следующей формуле: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center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ЭРП = СДЦ x УФ / 100%, где: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ЭРП - эффективность реализации муниципальной программы,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СДЦ - степень достижения целей (решения задач),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УФ - уровень финансирования реализации основных мероприятий муниципальной программы.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Вывод об эффективности (неэффективности) реализации муниципальной программы определяется на основании следующих критериев оценки эффективности: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>менее 50 % – неэффективная;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50 % – 79 % – удовлетворительная; </w:t>
      </w:r>
    </w:p>
    <w:p>
      <w:p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80 % – 100 % – эффективная;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Normal"/>
        <w:widowControl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firstLine="567"/>
        <w:jc w:val="both"/>
        <w:rPr>
          <w:rFonts w:ascii="Liberation Serif" w:hAnsi="Liberation Serif" w:cs="Liberation Serif"/>
          <w:color w:val="020C22"/>
          <w:sz w:val="28"/>
          <w:szCs w:val="28"/>
        </w:rPr>
      </w:pPr>
      <w:r>
        <w:rPr>
          <w:rFonts w:cs="Liberation Serif" w:ascii="Liberation Serif" w:hAnsi="Liberation Serif"/>
          <w:color w:val="020C22"/>
          <w:sz w:val="28"/>
          <w:szCs w:val="28"/>
        </w:rPr>
        <w:t xml:space="preserve">более 100 % – высокоэффективная. </w:t>
      </w:r>
    </w:p>
    <w:tbl>
      <w:tblPr>
        <w:tblW w:w="14730" w:type="dxa"/>
        <w:jc w:val="left"/>
        <w:tblInd w:w="-1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4"/>
        <w:gridCol w:w="4695"/>
      </w:tblGrid>
      <w:tr>
        <w:trPr>
          <w:trHeight w:val="2150" w:hRule="atLeast"/>
        </w:trPr>
        <w:tc>
          <w:tcPr>
            <w:tcW w:w="10034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</w:tc>
        <w:tc>
          <w:tcPr>
            <w:tcW w:w="4695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Приложение 2</w:t>
            </w:r>
          </w:p>
          <w:p>
            <w:pPr>
              <w:pStyle w:val="Normal"/>
              <w:bidi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постановлению администрации Аргаяшского муниципального района от 29.07.2025г. № 761</w:t>
            </w:r>
          </w:p>
        </w:tc>
      </w:tr>
    </w:tbl>
    <w:p>
      <w:pPr>
        <w:pStyle w:val="Normal"/>
        <w:bidi w:val="0"/>
        <w:jc w:val="right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bidi w:val="0"/>
        <w:jc w:val="right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Таблица 1</w:t>
      </w:r>
    </w:p>
    <w:p>
      <w:pPr>
        <w:pStyle w:val="Normal"/>
        <w:bidi w:val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Heading1"/>
        <w:bidi w:val="0"/>
        <w:spacing w:before="0" w:after="0"/>
        <w:ind w:hanging="0" w:left="0"/>
        <w:rPr>
          <w:sz w:val="24"/>
          <w:szCs w:val="24"/>
        </w:rPr>
      </w:pPr>
      <w:r>
        <w:rPr>
          <w:rFonts w:cs="Liberation Serif" w:ascii="Liberation Serif" w:hAnsi="Liberation Serif"/>
          <w:b w:val="false"/>
          <w:bCs w:val="false"/>
          <w:color w:val="000000"/>
          <w:sz w:val="24"/>
          <w:szCs w:val="24"/>
        </w:rPr>
        <w:t>Сведения о показателях (индикаторах) муниципальной программы и их значениях</w:t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tbl>
      <w:tblPr>
        <w:tblW w:w="1467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528"/>
        <w:gridCol w:w="1658"/>
        <w:gridCol w:w="1980"/>
        <w:gridCol w:w="2384"/>
        <w:gridCol w:w="2370"/>
      </w:tblGrid>
      <w:tr>
        <w:trPr/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№</w:t>
            </w:r>
          </w:p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Единица</w:t>
            </w:r>
          </w:p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измерения</w:t>
            </w:r>
          </w:p>
        </w:tc>
        <w:tc>
          <w:tcPr>
            <w:tcW w:w="6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Значения показателей</w:t>
            </w:r>
          </w:p>
        </w:tc>
      </w:tr>
      <w:tr>
        <w:trPr/>
        <w:tc>
          <w:tcPr>
            <w:tcW w:w="74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5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текущий</w:t>
            </w:r>
          </w:p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 год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первый год планового периода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2026 год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второй год планового периода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2027 год</w:t>
            </w:r>
          </w:p>
        </w:tc>
      </w:tr>
      <w:tr>
        <w:trPr/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выявленных с участием общественности правонарушений, в общем количестве правонарушений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28" w:after="22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77</w:t>
            </w:r>
          </w:p>
        </w:tc>
      </w:tr>
      <w:tr>
        <w:trPr>
          <w:trHeight w:val="588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раскрытых преступлений с участием добровольной народной дружины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Совершенствование деятельности участковых уполномоченных полиции, обеспечение условий для службы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Количество помещений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несовершеннолетних и молодежи, принявших участие в профилактических мероприятиях, от общего количества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285" w:after="28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95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3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cs="Times New Roman" w:ascii="Times New Roman" w:hAnsi="Times New Roman"/>
          <w:b w:val="false"/>
          <w:color w:val="000000"/>
          <w:sz w:val="24"/>
          <w:szCs w:val="24"/>
        </w:rPr>
        <w:t>к постановлению администрации                                                                                                                                                                                    Аргаяшского муниципального района                                                                                                                                                                                             от 29.07.2025г. № 761</w:t>
      </w:r>
    </w:p>
    <w:p>
      <w:pPr>
        <w:pStyle w:val="Normal"/>
        <w:bidi w:val="0"/>
        <w:spacing w:before="0" w:after="0"/>
        <w:ind w:firstLine="698"/>
        <w:jc w:val="right"/>
        <w:rPr>
          <w:rStyle w:val="Style23"/>
          <w:rFonts w:ascii="Liberation Serif" w:hAnsi="Liberation Serif" w:cs="Liberation Serif"/>
          <w:b w:val="false"/>
          <w:color w:val="000000"/>
          <w:sz w:val="22"/>
          <w:szCs w:val="22"/>
        </w:rPr>
      </w:pPr>
      <w:r>
        <w:rPr>
          <w:rFonts w:cs="Liberation Serif" w:ascii="Liberation Serif" w:hAnsi="Liberation Serif"/>
          <w:b w:val="false"/>
          <w:color w:val="000000"/>
          <w:sz w:val="22"/>
          <w:szCs w:val="22"/>
        </w:rPr>
      </w:r>
    </w:p>
    <w:p>
      <w:pPr>
        <w:pStyle w:val="Normal"/>
        <w:bidi w:val="0"/>
        <w:spacing w:before="0" w:after="0"/>
        <w:ind w:firstLine="698"/>
        <w:jc w:val="right"/>
        <w:rPr/>
      </w:pPr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>Таблица</w:t>
      </w:r>
      <w:bookmarkStart w:id="0" w:name="sub_120_Копия_1"/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 xml:space="preserve"> 2</w:t>
      </w:r>
      <w:bookmarkEnd w:id="0"/>
    </w:p>
    <w:p>
      <w:pPr>
        <w:pStyle w:val="Heading1"/>
        <w:bidi w:val="0"/>
        <w:spacing w:before="0" w:after="0"/>
        <w:ind w:hanging="0" w:left="0"/>
        <w:rPr>
          <w:sz w:val="24"/>
          <w:szCs w:val="24"/>
        </w:rPr>
      </w:pPr>
      <w:r>
        <w:rPr>
          <w:rFonts w:cs="Liberation Serif" w:ascii="Liberation Serif" w:hAnsi="Liberation Serif"/>
          <w:b w:val="false"/>
          <w:bCs w:val="false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Аргаяшского муниципального района</w:t>
      </w:r>
    </w:p>
    <w:p>
      <w:pPr>
        <w:pStyle w:val="Normal"/>
        <w:bidi w:val="0"/>
        <w:ind w:firstLine="720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</w:r>
    </w:p>
    <w:tbl>
      <w:tblPr>
        <w:tblW w:w="14790" w:type="dxa"/>
        <w:jc w:val="left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465"/>
        <w:gridCol w:w="2553"/>
        <w:gridCol w:w="732"/>
        <w:gridCol w:w="738"/>
        <w:gridCol w:w="1068"/>
        <w:gridCol w:w="643"/>
        <w:gridCol w:w="1121"/>
        <w:gridCol w:w="1309"/>
        <w:gridCol w:w="1256"/>
      </w:tblGrid>
      <w:tr>
        <w:trPr/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Статус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Наименование</w:t>
            </w:r>
          </w:p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Расходы (тыс. рублей) по годам</w:t>
            </w:r>
          </w:p>
        </w:tc>
      </w:tr>
      <w:tr>
        <w:trPr/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108" w:right="-9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Рз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108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ЦСР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текущий 2025 год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первый год планового периода 2026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0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второй год планового периода 2027</w:t>
            </w:r>
          </w:p>
        </w:tc>
      </w:tr>
      <w:tr>
        <w:trPr/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bidi w:val="0"/>
              <w:spacing w:before="0" w:after="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  <w:t>«Обеспечение общественного порядка, противодействие преступности и профилактика правонарушений на территории Аргаяшского муниципального района» на 2025-2027 годы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</w:tr>
      <w:tr>
        <w:trPr/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Аргаяшского муниципального района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6200741370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</w:tr>
      <w:tr>
        <w:trPr/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6200741390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100,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100,0</w:t>
            </w:r>
          </w:p>
        </w:tc>
      </w:tr>
    </w:tbl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jc w:val="right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3</w:t>
      </w:r>
    </w:p>
    <w:p>
      <w:pPr>
        <w:pStyle w:val="Normal"/>
        <w:bidi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cs="Times New Roman" w:ascii="Times New Roman" w:hAnsi="Times New Roman"/>
          <w:b w:val="false"/>
          <w:color w:val="000000"/>
          <w:sz w:val="24"/>
          <w:szCs w:val="24"/>
        </w:rPr>
        <w:t>к постановлению администрации                                                                                                                                                                                    Аргаяшского муниципального района                                                                                                                                                                                             от 29.07.2025г. № 761</w:t>
      </w:r>
    </w:p>
    <w:p>
      <w:pPr>
        <w:pStyle w:val="Normal"/>
        <w:bidi w:val="0"/>
        <w:spacing w:before="0" w:after="0"/>
        <w:ind w:hanging="0" w:left="720"/>
        <w:jc w:val="right"/>
        <w:rPr/>
      </w:pPr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 xml:space="preserve">Таблица </w:t>
      </w:r>
      <w:r>
        <w:rPr>
          <w:rStyle w:val="Style23"/>
          <w:rFonts w:cs="Liberation Serif" w:ascii="Liberation Serif" w:hAnsi="Liberation Serif"/>
          <w:b w:val="false"/>
          <w:color w:val="000000"/>
        </w:rPr>
        <w:t>3</w:t>
      </w:r>
    </w:p>
    <w:p>
      <w:pPr>
        <w:pStyle w:val="Normal"/>
        <w:bidi w:val="0"/>
        <w:ind w:hanging="0" w:left="72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Heading1"/>
        <w:bidi w:val="0"/>
        <w:spacing w:before="0" w:after="0"/>
        <w:ind w:hanging="0" w:left="0"/>
        <w:rPr>
          <w:sz w:val="24"/>
          <w:szCs w:val="24"/>
        </w:rPr>
      </w:pPr>
      <w:r>
        <w:rPr>
          <w:rFonts w:cs="Liberation Serif" w:ascii="Liberation Serif" w:hAnsi="Liberation Serif"/>
          <w:b w:val="false"/>
          <w:bCs w:val="false"/>
          <w:color w:val="000000"/>
          <w:sz w:val="24"/>
          <w:szCs w:val="24"/>
        </w:rPr>
        <w:t>Прогнозная оценка расходов на реализацию целей муниципальной программы</w:t>
      </w:r>
    </w:p>
    <w:p>
      <w:pPr>
        <w:pStyle w:val="Heading1"/>
        <w:bidi w:val="0"/>
        <w:spacing w:before="0" w:after="0"/>
        <w:ind w:hanging="0" w:left="0"/>
        <w:rPr>
          <w:rFonts w:cs="Times New Roman"/>
          <w:b w:val="false"/>
          <w:bCs w:val="false"/>
          <w:color w:val="000000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</w:r>
    </w:p>
    <w:tbl>
      <w:tblPr>
        <w:tblW w:w="14460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4126"/>
        <w:gridCol w:w="3914"/>
        <w:gridCol w:w="1531"/>
        <w:gridCol w:w="1589"/>
        <w:gridCol w:w="1320"/>
      </w:tblGrid>
      <w:tr>
        <w:trPr/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Статус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108" w:right="-5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Оценка расходов (тыс. рублей) по годам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9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текущий  год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0" w:left="-95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первый год планового периода</w:t>
            </w:r>
          </w:p>
          <w:p>
            <w:pPr>
              <w:pStyle w:val="Style51"/>
              <w:widowControl w:val="false"/>
              <w:bidi w:val="0"/>
              <w:ind w:hanging="0" w:left="-95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1"/>
              <w:widowControl w:val="false"/>
              <w:bidi w:val="0"/>
              <w:ind w:hanging="0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второй год планового периода</w:t>
            </w:r>
          </w:p>
          <w:p>
            <w:pPr>
              <w:pStyle w:val="Style51"/>
              <w:widowControl w:val="false"/>
              <w:bidi w:val="0"/>
              <w:ind w:hanging="0" w:right="-108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Муниципальнаяпрограмма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bidi w:val="0"/>
              <w:spacing w:before="0" w:after="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 w:val="false"/>
                <w:bCs w:val="false"/>
                <w:color w:val="000000"/>
                <w:sz w:val="24"/>
                <w:szCs w:val="24"/>
              </w:rPr>
              <w:t>«Обеспечение общественного порядка, противодействие преступности и профилактика правонарушений на территории Аргаяшского муниципального района» на 2025-2027 годы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442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бюджет Аргаяшского  муниципального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федеральный бюджет*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231,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4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bidi w:val="0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х</w:t>
            </w:r>
          </w:p>
        </w:tc>
      </w:tr>
    </w:tbl>
    <w:p>
      <w:pPr>
        <w:pStyle w:val="Style53"/>
        <w:bidi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* При условии выделения средств. </w:t>
      </w:r>
      <w:bookmarkStart w:id="1" w:name="sub_171"/>
    </w:p>
    <w:p>
      <w:pPr>
        <w:pStyle w:val="Normal"/>
        <w:bidi w:val="0"/>
        <w:ind w:firstLine="720"/>
        <w:jc w:val="both"/>
        <w:rPr>
          <w:rFonts w:eastAsia="Arial"/>
        </w:rPr>
      </w:pPr>
      <w:bookmarkStart w:id="2" w:name="sub_172"/>
      <w:bookmarkEnd w:id="1"/>
      <w:bookmarkEnd w:id="2"/>
      <w:r>
        <w:rPr>
          <w:rFonts w:eastAsia="Arial"/>
        </w:rPr>
        <w:t xml:space="preserve"> </w:t>
      </w:r>
    </w:p>
    <w:p>
      <w:pPr>
        <w:pStyle w:val="Normal"/>
        <w:bidi w:val="0"/>
        <w:ind w:firstLine="720"/>
        <w:jc w:val="both"/>
        <w:rPr>
          <w:rFonts w:cs="Times New Roman"/>
        </w:rPr>
      </w:pPr>
      <w:r>
        <w:rPr>
          <w:rFonts w:cs="Times New Roman"/>
        </w:rPr>
      </w:r>
      <w:r>
        <w:br w:type="page"/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Утверждено: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Постановлением администрации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Аргаяшского муниципального района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№ </w:t>
      </w:r>
      <w:r>
        <w:rPr>
          <w:rFonts w:cs="Liberation Serif" w:ascii="Liberation Serif" w:hAnsi="Liberation Serif"/>
          <w:sz w:val="24"/>
          <w:szCs w:val="24"/>
        </w:rPr>
        <w:t>_______ от «___»________ 20__г.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Приложение 4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к муниципальной программе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«</w:t>
      </w:r>
      <w:r>
        <w:rPr>
          <w:rFonts w:eastAsia="Times New Roman" w:cs="Liberation Serif" w:ascii="Liberation Serif" w:hAnsi="Liberation Serif"/>
          <w:sz w:val="24"/>
          <w:szCs w:val="24"/>
        </w:rPr>
        <w:t xml:space="preserve">Обеспечение общественного порядка, противодействие преступности и профилактика правонарушений на </w:t>
      </w:r>
      <w:r>
        <w:rPr>
          <w:rFonts w:cs="Liberation Serif" w:ascii="Liberation Serif" w:hAnsi="Liberation Serif"/>
          <w:sz w:val="24"/>
          <w:szCs w:val="24"/>
        </w:rPr>
        <w:t xml:space="preserve"> территории Аргаяшского муниципального района»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9921" w:right="0"/>
        <w:jc w:val="center"/>
        <w:rPr/>
      </w:pPr>
      <w:r>
        <w:rPr>
          <w:rStyle w:val="Style23"/>
          <w:rFonts w:cs="Liberation Serif" w:ascii="Liberation Serif" w:hAnsi="Liberation Serif"/>
          <w:b w:val="false"/>
          <w:color w:val="000000"/>
          <w:sz w:val="24"/>
          <w:szCs w:val="24"/>
        </w:rPr>
        <w:t>на 2025-2027 г</w:t>
      </w:r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>оды</w:t>
      </w:r>
    </w:p>
    <w:p>
      <w:pPr>
        <w:pStyle w:val="Normal"/>
        <w:bidi w:val="0"/>
        <w:ind w:firstLine="720"/>
        <w:jc w:val="right"/>
        <w:rPr/>
      </w:pPr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 xml:space="preserve">Таблица </w:t>
      </w:r>
      <w:bookmarkStart w:id="3" w:name="sub_150_Копия_1"/>
      <w:bookmarkEnd w:id="3"/>
      <w:r>
        <w:rPr>
          <w:rStyle w:val="Style23"/>
          <w:rFonts w:cs="Liberation Serif" w:ascii="Liberation Serif" w:hAnsi="Liberation Serif"/>
          <w:b w:val="false"/>
          <w:color w:val="000000"/>
          <w:sz w:val="22"/>
          <w:szCs w:val="22"/>
        </w:rPr>
        <w:t>4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Система мероприятий муниципальной программы </w:t>
      </w:r>
      <w:r>
        <w:rPr>
          <w:rFonts w:cs="Liberation Serif" w:ascii="Liberation Serif" w:hAnsi="Liberation Serif"/>
          <w:color w:val="000000"/>
          <w:sz w:val="24"/>
          <w:szCs w:val="24"/>
        </w:rPr>
        <w:t>«Обеспечение общественного порядка, противодействие преступности и профилактика правонарушений на территории Аргаяшского муниципального района» на 2025-2027 годы</w:t>
      </w:r>
    </w:p>
    <w:p>
      <w:pPr>
        <w:pStyle w:val="Normal"/>
        <w:bidi w:val="0"/>
        <w:jc w:val="center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tbl>
      <w:tblPr>
        <w:tblW w:w="14565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5762"/>
        <w:gridCol w:w="2144"/>
        <w:gridCol w:w="1650"/>
        <w:gridCol w:w="1666"/>
        <w:gridCol w:w="1080"/>
        <w:gridCol w:w="795"/>
        <w:gridCol w:w="852"/>
      </w:tblGrid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Исполнители,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040" w:leader="none"/>
              </w:tabs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участники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Объем финансирования,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тыс.руб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2026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2027 год</w:t>
            </w:r>
          </w:p>
        </w:tc>
      </w:tr>
      <w:tr>
        <w:trPr/>
        <w:tc>
          <w:tcPr>
            <w:tcW w:w="14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Обеспечение общественного порядка и укрепление законности с участием общественных организаций и граждан.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Создание условий для деятельности добровольных формирований населений по охране общественного порядка (изготовление удостоверений и др.).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АМР,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Материальное стимулирование членов добровольных народных дружин.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АМР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272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40,0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40,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40,0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231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,</w:t>
            </w:r>
            <w:r>
              <w:rPr>
                <w:rFonts w:cs="Liberation Serif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57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Создание условий для деятельности участковых уполномоченных полиции на обслуживаемом административном участке (выделение или ремонт помещений), изготовление и размещение в местах с массовым пребыванием граждан баннеров, памяток, визитных карточек.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АМР, Администрации сельских поселений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110,0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45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Профилактика и пресечение различных видов правонарушений</w:t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с целью  правового просвещения и информирования граждан, включая несовершеннолетних. Трансляция роликов и фильмов по  предупреждению преступных проявлений и наркомании, пропаганду здорового образа жизни.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Управление образования;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МКУ «Управление культуры, туризма и молодежной политики»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и проведение дополнительных мероприятий по выявлению несовершеннолетних, уклоняющихся от посещения образовательных и медицинских учреждений.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  <w:t>Управление образования; КДН и ЗП;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  <w:t>МБУЗ                        « Районная больница с. Аргаяш»;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Размещение в средствах массовой информации публикаций направленных на предупреждение правонарушений и преступлений.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АМР, ОМВД России (по согласованию)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Выявление и уничтожение дикорастущих наркосодержащих растений на территории Аргаяшского муниципального района.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14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</w:tr>
      <w:tr>
        <w:trPr>
          <w:trHeight w:val="898" w:hRule="atLeast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5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28" w:before="0" w:after="45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Организация работы  представителей органов и учреждений системы профилактики для проведения профилактической деятельности с несовершеннолетними, требующими особого контроля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Администрация района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КДН и ЗП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</w:tr>
      <w:tr>
        <w:trPr>
          <w:trHeight w:val="574" w:hRule="atLeast"/>
        </w:trPr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ind w:hanging="0" w:left="-331" w:right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50,0</w:t>
            </w:r>
          </w:p>
        </w:tc>
      </w:tr>
      <w:tr>
        <w:trPr/>
        <w:tc>
          <w:tcPr>
            <w:tcW w:w="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ind w:hanging="0" w:left="-331" w:right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57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28" w:before="0" w:after="45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Проведение  мероприятий по  профилактике наркозависимости и  алкоголезависимости детей и подростков,  несовершеннолетних с  суицидальными намерениями и иными формами девиантного поведения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Управление образования, КДН и ЗП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ind w:hanging="0" w:left="-331" w:right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ind w:hanging="0" w:left="-331" w:right="2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57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ind w:hanging="0" w:right="1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Оказание консультативной помощи, предоставление лицам, освободившимся из мест лишения свободы государственных (муниципальных) услуг, в том числе по социальному обеспечению профессиональной ориентации и трудоустройству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28" w:before="0" w:after="45"/>
              <w:jc w:val="center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Филиал ФКУ УИИ УФСИН России по Челябинской области (по согласованию), Центр занятости населения (по согласованию)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right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76"/>
              <w:ind w:hanging="0" w:right="1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28" w:before="0" w:after="4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57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Оказание консультативных услуг, содействие по трудоустройству лиц освободившихся из мест лишения свободы, осужденных к наказаниям и мерам уголовно-правового характера, не связанных с лишением свободы, больных наркоманией.</w:t>
            </w:r>
          </w:p>
        </w:tc>
        <w:tc>
          <w:tcPr>
            <w:tcW w:w="21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Филиал ФКУ УИИ УФСИН России по Челябинской области (по согласованию), Центр занятости населения (по согласованию)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2025-2027</w:t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годы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27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Без финансирования</w:t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576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214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272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101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</w:tr>
      <w:tr>
        <w:trPr/>
        <w:tc>
          <w:tcPr>
            <w:tcW w:w="1017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Районный бюджет</w:t>
            </w:r>
          </w:p>
          <w:p>
            <w:pPr>
              <w:pStyle w:val="Normal"/>
              <w:widowControl w:val="false"/>
              <w:bidi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210,0</w:t>
            </w:r>
          </w:p>
        </w:tc>
      </w:tr>
      <w:tr>
        <w:trPr>
          <w:trHeight w:val="288" w:hRule="atLeast"/>
        </w:trPr>
        <w:tc>
          <w:tcPr>
            <w:tcW w:w="1017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0,0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885" w:top="153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b/>
      <w:color w:val="000080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51">
    <w:name w:val="Нормальный (таблица)"/>
    <w:basedOn w:val="Normal"/>
    <w:next w:val="Normal"/>
    <w:qFormat/>
    <w:pPr>
      <w:jc w:val="both"/>
    </w:pPr>
    <w:rPr/>
  </w:style>
  <w:style w:type="paragraph" w:styleId="Style52">
    <w:name w:val="Прижатый влево"/>
    <w:basedOn w:val="Normal"/>
    <w:next w:val="Normal"/>
    <w:qFormat/>
    <w:pPr/>
    <w:rPr/>
  </w:style>
  <w:style w:type="paragraph" w:styleId="Style53">
    <w:name w:val="Таблицы (моноширинный)"/>
    <w:basedOn w:val="Normal"/>
    <w:next w:val="Normal"/>
    <w:qFormat/>
    <w:pPr>
      <w:jc w:val="both"/>
    </w:pPr>
    <w:rPr>
      <w:rFonts w:ascii="Courier New" w:hAnsi="Courier New" w:eastAsia="Times New Roman" w:cs="Courier New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4">
    <w:name w:val="Маркированный •"/>
    <w:qFormat/>
  </w:style>
  <w:style w:type="numbering" w:styleId="Style55">
    <w:name w:val="Маркированный –"/>
    <w:qFormat/>
  </w:style>
  <w:style w:type="numbering" w:styleId="Style56">
    <w:name w:val="Маркированный ☑"/>
    <w:qFormat/>
  </w:style>
  <w:style w:type="numbering" w:styleId="Style57">
    <w:name w:val="Маркированный ➢"/>
    <w:qFormat/>
  </w:style>
  <w:style w:type="numbering" w:styleId="Style58">
    <w:name w:val="Маркированный ✗"/>
    <w:qFormat/>
  </w:style>
  <w:style w:type="numbering" w:styleId="19">
    <w:name w:val="Нумерованный 1)"/>
    <w:qFormat/>
  </w:style>
  <w:style w:type="numbering" w:styleId="Style59">
    <w:name w:val="Нумерованный а)"/>
    <w:qFormat/>
  </w:style>
  <w:style w:type="numbering" w:styleId="Style6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LibreOffice/24.8.4.2$Linux_X86_64 LibreOffice_project/480$Build-2</Application>
  <AppVersion>15.0000</AppVersion>
  <Pages>17</Pages>
  <Words>3019</Words>
  <Characters>22961</Characters>
  <CharactersWithSpaces>26315</CharactersWithSpaces>
  <Paragraphs>527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2025-07-29T16:09:06Z</dcterms:created>
  <dc:creator/>
  <dc:description/>
  <dc:language>ru-RU</dc:language>
  <cp:lastModifiedBy/>
  <dcterms:modified xsi:type="dcterms:W3CDTF">2025-07-30T10:39:30Z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