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194" y="0"/>
                <wp:lineTo x="21384" y="0"/>
                <wp:lineTo x="21384" y="21399"/>
                <wp:lineTo x="-194" y="21399"/>
                <wp:lineTo x="-194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18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сентября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908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составе проекта планировки территории)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от 02.02.2024 № 112 «Об утверждении Правил подготовки документации 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ООО «СПЕЦИАЛИЗИРОВАННЫЙ ЗАСТРОЙЩИК «УВИЛЬДЫ - РЕЗОРТ»»           </w:t>
      </w:r>
      <w:r>
        <w:rPr>
          <w:rFonts w:ascii="Tinos" w:hAnsi="Tinos"/>
          <w:sz w:val="28"/>
          <w:szCs w:val="28"/>
        </w:rPr>
        <w:t>№ 6264 от 17.09.2025,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 xml:space="preserve">Подготовить документацию по планировке территории (проект межевания территории в составе проекта планировки территории) для размещения линейного объекта - водопровода для водозбора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(далее -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 Границы территории в отношении которой разрабатывается документация по планировке территории, определить согласно Схеме (Приложение).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провести процедуру согласования с органами государственной власти, осуществления предоставления лесных участков в границах земельного фонда, в порядке установленном ч. 12.3 ст. 45 Градостроительного кодекса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района документацию по планировке территории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5. </w:t>
      </w:r>
      <w:r>
        <w:rPr>
          <w:rFonts w:cs="Tinos" w:ascii="Tinos" w:hAnsi="Tinos"/>
          <w:sz w:val="28"/>
          <w:szCs w:val="28"/>
          <w:shd w:fill="auto" w:val="clear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541</TotalTime>
  <Application>LibreOffice/24.8.4.2$Linux_X86_64 LibreOffice_project/480$Build-2</Application>
  <AppVersion>15.0000</AppVersion>
  <Pages>3</Pages>
  <Words>369</Words>
  <Characters>2874</Characters>
  <CharactersWithSpaces>3530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2025-09-18T14:22:59Z</cp:lastPrinted>
  <dcterms:modified xsi:type="dcterms:W3CDTF">2025-09-19T08:53:52Z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