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2541270</wp:posOffset>
            </wp:positionH>
            <wp:positionV relativeFrom="paragraph">
              <wp:posOffset>-144780</wp:posOffset>
            </wp:positionV>
            <wp:extent cx="1038225" cy="1123950"/>
            <wp:effectExtent l="0" t="0" r="0" b="0"/>
            <wp:wrapThrough wrapText="bothSides">
              <wp:wrapPolygon edited="0">
                <wp:start x="-92" y="0"/>
                <wp:lineTo x="21510" y="0"/>
                <wp:lineTo x="21510" y="21515"/>
                <wp:lineTo x="-92" y="21515"/>
                <wp:lineTo x="-92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-24130</wp:posOffset>
                </wp:positionH>
                <wp:positionV relativeFrom="paragraph">
                  <wp:posOffset>1270</wp:posOffset>
                </wp:positionV>
                <wp:extent cx="61626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9pt,0.1pt" to="483.3pt,0.1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  <w:u w:val="none"/>
        </w:rPr>
        <w:t>"07" октября 2025 г.   № 983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виде отдельного документа)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  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запросом Тихоновой О.Д. </w:t>
      </w:r>
      <w:r>
        <w:rPr>
          <w:rFonts w:ascii="Tinos" w:hAnsi="Tinos"/>
          <w:sz w:val="28"/>
          <w:szCs w:val="28"/>
        </w:rPr>
        <w:t xml:space="preserve">№ 2519 от 03.10.2025, 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 Подготовить документацию по планировке территории (проект межевания территории в виде отдельного документа) 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границах</w:t>
      </w:r>
      <w:r>
        <w:rPr>
          <w:rFonts w:ascii="Tinos" w:hAnsi="Tinos"/>
          <w:sz w:val="28"/>
          <w:szCs w:val="28"/>
          <w:u w:val="none"/>
        </w:rPr>
        <w:t xml:space="preserve"> земельного участка с кадастровым номером 74:02:1212002:88 (далее – документация по планировке территории).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none"/>
        </w:rPr>
        <w:tab/>
        <w:t>2. Границы территории в отношении которой разрабатывается документация по планировке территории, определить согласно Схеме, прилагаемой к настоящему Постановлению.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none"/>
        </w:rPr>
        <w:tab/>
      </w:r>
      <w:r>
        <w:rPr>
          <w:rFonts w:ascii="Tinos" w:hAnsi="Tinos"/>
          <w:sz w:val="28"/>
          <w:szCs w:val="28"/>
        </w:rPr>
        <w:t>3. 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 на разработку документации по планировке территори</w:t>
      </w:r>
      <w:r>
        <w:rPr>
          <w:rFonts w:ascii="Tinos" w:hAnsi="Tinos"/>
          <w:sz w:val="28"/>
          <w:szCs w:val="28"/>
          <w:u w:val="none"/>
        </w:rPr>
        <w:t>и</w:t>
      </w:r>
      <w:r>
        <w:rPr>
          <w:rFonts w:ascii="Tinos" w:hAnsi="Tinos"/>
          <w:sz w:val="28"/>
          <w:szCs w:val="28"/>
        </w:rPr>
        <w:t>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 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 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 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5. </w:t>
      </w:r>
      <w:r>
        <w:rPr>
          <w:rFonts w:cs="Tinos" w:ascii="Tinos" w:hAnsi="Tinos"/>
          <w:sz w:val="28"/>
          <w:szCs w:val="28"/>
          <w:shd w:fill="auto" w:val="clear"/>
        </w:rPr>
        <w:t>Отделу информационных технологий  администрации Аргаяшского муниципального района (Д.В. Сорокину)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6. 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7025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Временно исполняющий полномочия</w:t>
      </w:r>
    </w:p>
    <w:p>
      <w:pPr>
        <w:pStyle w:val="Normal"/>
        <w:tabs>
          <w:tab w:val="clear" w:pos="708"/>
          <w:tab w:val="left" w:pos="7025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главы Аргаяшского </w:t>
      </w:r>
    </w:p>
    <w:p>
      <w:pPr>
        <w:pStyle w:val="Normal"/>
        <w:tabs>
          <w:tab w:val="clear" w:pos="708"/>
          <w:tab w:val="left" w:pos="7025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муниципального района                                                                         Н.П Савинов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</w:r>
      <w:r>
        <w:br w:type="page"/>
      </w:r>
    </w:p>
    <w:p>
      <w:pPr>
        <w:pStyle w:val="Normal"/>
        <w:rPr>
          <w:rFonts w:ascii="Tinos" w:hAnsi="Tinos"/>
          <w:color w:val="000000"/>
          <w:sz w:val="20"/>
          <w:szCs w:val="20"/>
        </w:rPr>
      </w:pPr>
      <w:r>
        <w:rPr>
          <w:rFonts w:ascii="Tinos" w:hAnsi="Tinos"/>
          <w:color w:val="000000"/>
          <w:sz w:val="20"/>
          <w:szCs w:val="20"/>
        </w:rPr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Comment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</TotalTime>
  <Application>LibreOffice/25.2.3.2$Linux_X86_64 LibreOffice_project/520$Build-2</Application>
  <AppVersion>15.0000</AppVersion>
  <Pages>3</Pages>
  <Words>338</Words>
  <Characters>2714</Characters>
  <CharactersWithSpaces>3125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2025-10-07T10:29:27Z</cp:lastPrinted>
  <dcterms:modified xsi:type="dcterms:W3CDTF">2025-10-09T15:33:27Z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