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3837E">
      <w:pPr>
        <w:spacing w:after="20" w:line="240" w:lineRule="auto"/>
        <w:rPr>
          <w:szCs w:val="28"/>
        </w:rPr>
      </w:pPr>
    </w:p>
    <w:p w14:paraId="66EE6D76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ПРИЛОЖЕНИЕ 3</w:t>
      </w:r>
    </w:p>
    <w:p w14:paraId="24E0D678">
      <w:pPr>
        <w:spacing w:after="20"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к муниципальной программе</w:t>
      </w:r>
    </w:p>
    <w:p w14:paraId="766CDDD7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«Развитие физической культуры и спорта</w:t>
      </w:r>
    </w:p>
    <w:p w14:paraId="3CB0DC1F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 xml:space="preserve"> в Аргаяшском</w:t>
      </w:r>
    </w:p>
    <w:p w14:paraId="03514637">
      <w:pPr>
        <w:spacing w:after="20" w:line="240" w:lineRule="auto"/>
        <w:ind w:left="5669"/>
        <w:rPr>
          <w:szCs w:val="28"/>
        </w:rPr>
      </w:pPr>
      <w:r>
        <w:rPr>
          <w:szCs w:val="28"/>
        </w:rPr>
        <w:t>муниципальном районе»</w:t>
      </w:r>
    </w:p>
    <w:p w14:paraId="6B9B9754">
      <w:pPr>
        <w:spacing w:after="20"/>
        <w:jc w:val="center"/>
        <w:rPr>
          <w:szCs w:val="28"/>
        </w:rPr>
      </w:pPr>
    </w:p>
    <w:p w14:paraId="556AE457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 xml:space="preserve">Муниципальная подпрограмма </w:t>
      </w:r>
    </w:p>
    <w:p w14:paraId="24A82EEA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 xml:space="preserve">Реализация всероссийского физкультурно-спортивного комплекса </w:t>
      </w:r>
    </w:p>
    <w:p w14:paraId="656B6BE7">
      <w:pPr>
        <w:spacing w:after="20" w:line="240" w:lineRule="auto"/>
        <w:jc w:val="center"/>
        <w:rPr>
          <w:szCs w:val="28"/>
        </w:rPr>
      </w:pPr>
      <w:r>
        <w:rPr>
          <w:szCs w:val="28"/>
        </w:rPr>
        <w:t>«Готов к труду и обороне» (ГТО) в Аргаяшском муниципальном районе. Паспорт подпрограммы</w:t>
      </w:r>
    </w:p>
    <w:p w14:paraId="233D0623">
      <w:pPr>
        <w:spacing w:after="20" w:line="240" w:lineRule="auto"/>
        <w:jc w:val="both"/>
        <w:rPr>
          <w:szCs w:val="28"/>
        </w:rPr>
      </w:pPr>
    </w:p>
    <w:p w14:paraId="3EE9A99C">
      <w:pPr>
        <w:pStyle w:val="13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Ответственный исполнитель: Муниципальное учреждение</w:t>
      </w:r>
    </w:p>
    <w:p w14:paraId="46207F1E">
      <w:pPr>
        <w:spacing w:after="20" w:line="240" w:lineRule="auto"/>
        <w:jc w:val="both"/>
        <w:rPr>
          <w:szCs w:val="28"/>
        </w:rPr>
      </w:pPr>
      <w:r>
        <w:rPr>
          <w:szCs w:val="28"/>
        </w:rPr>
        <w:t>Аргаяшского муниципального района «Физкультура и спорт» (Центр тестирования ГТО в Аргаяшском муниципальном районе)</w:t>
      </w:r>
    </w:p>
    <w:p w14:paraId="4A778629">
      <w:pPr>
        <w:pStyle w:val="11"/>
        <w:numPr>
          <w:ilvl w:val="0"/>
          <w:numId w:val="1"/>
        </w:numPr>
        <w:tabs>
          <w:tab w:val="left" w:pos="0"/>
        </w:tabs>
        <w:spacing w:before="0" w:beforeAutospacing="0" w:after="20" w:afterAutospacing="0"/>
        <w:jc w:val="both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 xml:space="preserve">Участники: население Аргаяшского муниципального района в </w:t>
      </w:r>
    </w:p>
    <w:p w14:paraId="772920D7">
      <w:pPr>
        <w:pStyle w:val="11"/>
        <w:tabs>
          <w:tab w:val="left" w:pos="0"/>
        </w:tabs>
        <w:spacing w:before="0" w:beforeAutospacing="0" w:after="20" w:afterAutospacing="0"/>
        <w:jc w:val="both"/>
        <w:rPr>
          <w:rStyle w:val="6"/>
          <w:b w:val="0"/>
          <w:bCs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возрасте от 6 лет и старше включая людей с ограниченными возможностями</w:t>
      </w:r>
    </w:p>
    <w:p w14:paraId="4DCDA42F">
      <w:pPr>
        <w:pStyle w:val="11"/>
        <w:tabs>
          <w:tab w:val="left" w:pos="0"/>
        </w:tabs>
        <w:spacing w:before="0" w:beforeAutospacing="0" w:after="20" w:afterAutospacing="0"/>
        <w:ind w:left="360"/>
        <w:jc w:val="both"/>
        <w:rPr>
          <w:sz w:val="28"/>
          <w:szCs w:val="28"/>
        </w:rPr>
      </w:pPr>
    </w:p>
    <w:tbl>
      <w:tblPr>
        <w:tblStyle w:val="12"/>
        <w:tblW w:w="9504" w:type="dxa"/>
        <w:tblInd w:w="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7638"/>
      </w:tblGrid>
      <w:tr w14:paraId="5D0391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19178F78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Цели</w:t>
            </w:r>
          </w:p>
        </w:tc>
        <w:tc>
          <w:tcPr>
            <w:tcW w:w="7638" w:type="dxa"/>
          </w:tcPr>
          <w:p w14:paraId="374D8F6B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Осуществление тестирования населения по выполнению нормативов испытаний (тестов) комплекса (ГТО), содержащихся в государственных требованиях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и оценка выполнения нормативов испытаний (тестов) комплекса ГТО населением  </w:t>
            </w:r>
          </w:p>
        </w:tc>
      </w:tr>
      <w:tr w14:paraId="1C9D0A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294C9FC1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Задачи</w:t>
            </w:r>
          </w:p>
        </w:tc>
        <w:tc>
          <w:tcPr>
            <w:tcW w:w="7638" w:type="dxa"/>
          </w:tcPr>
          <w:p w14:paraId="1D8C16EA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Создание условий по оказанию консультационной и методической помощи населению.</w:t>
            </w:r>
          </w:p>
          <w:p w14:paraId="03FA298F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-Пропаганда здорового образа жизни и комплекса ГТО среди населения.</w:t>
            </w:r>
          </w:p>
          <w:p w14:paraId="56F8DE23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Увеличение доли населения  выполнившего комплекс ГТО на знаки отличия.</w:t>
            </w:r>
          </w:p>
        </w:tc>
      </w:tr>
      <w:tr w14:paraId="59193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780CCEC0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7638" w:type="dxa"/>
          </w:tcPr>
          <w:p w14:paraId="3380D6B1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-Размещение в СМИ, интернет ресурсах информации о реализации комплекса ГТО. Распространение агитационного материала среди населения.</w:t>
            </w:r>
          </w:p>
          <w:p w14:paraId="5574EB9A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-Проведение спортивно массовых мероприятий (план мероприятий).</w:t>
            </w:r>
          </w:p>
          <w:p w14:paraId="6E00840C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 Привлечение населения к выполнению нормативов (тестов) комплекса ГТО.</w:t>
            </w:r>
          </w:p>
          <w:p w14:paraId="40A25EC2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-Прием нормативов (тестов) у населения в возрасте от 6 лет и старше включая людей с ограниченными возможностями.</w:t>
            </w:r>
          </w:p>
          <w:p w14:paraId="7D97278D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подготовки сборной команды Аргаяшского района к участию в областных физкультурно-спортивных мероприятиях.</w:t>
            </w:r>
          </w:p>
          <w:p w14:paraId="7211BB24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-Участие в областных физкультурно-спортивных мероприятиях.</w:t>
            </w:r>
          </w:p>
          <w:p w14:paraId="1DF51FF4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-Обеспечение судейства выполнения норм </w:t>
            </w:r>
          </w:p>
          <w:p w14:paraId="0FAD5262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(тестов ) комплекса ГТО.</w:t>
            </w:r>
          </w:p>
          <w:p w14:paraId="1B590885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-Организация тестирования в отдаленных малонаселенных местах.</w:t>
            </w:r>
          </w:p>
          <w:p w14:paraId="5E63B44C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-Вручение удостоверения и знаков отличия в торжественной обстановке с привлечением послов ГТО и представителей местной администрации.</w:t>
            </w:r>
          </w:p>
          <w:p w14:paraId="5CF5A22D">
            <w:pPr>
              <w:pStyle w:val="13"/>
              <w:spacing w:after="20" w:line="240" w:lineRule="auto"/>
              <w:ind w:left="0"/>
              <w:jc w:val="both"/>
              <w:rPr>
                <w:szCs w:val="28"/>
              </w:rPr>
            </w:pPr>
          </w:p>
        </w:tc>
      </w:tr>
      <w:tr w14:paraId="1E7F5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6" w:type="dxa"/>
          </w:tcPr>
          <w:p w14:paraId="05D02923">
            <w:pPr>
              <w:pStyle w:val="13"/>
              <w:spacing w:after="20" w:line="240" w:lineRule="auto"/>
              <w:ind w:left="-756" w:firstLine="756"/>
              <w:rPr>
                <w:szCs w:val="28"/>
              </w:rPr>
            </w:pPr>
            <w:r>
              <w:rPr>
                <w:szCs w:val="28"/>
              </w:rPr>
              <w:t>Целевые индикаторы</w:t>
            </w:r>
          </w:p>
        </w:tc>
        <w:tc>
          <w:tcPr>
            <w:tcW w:w="7638" w:type="dxa"/>
          </w:tcPr>
          <w:p w14:paraId="4B4079BB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доля населения, выполнившего нормативы на знаки отличия ВФСК ГТО на территории Аргаяшского муниципального района</w:t>
            </w:r>
          </w:p>
          <w:p w14:paraId="0DA57CE8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5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3,0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14:paraId="5C866C4F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г.-3,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5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14:paraId="0AD9F179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202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>7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г.-</w:t>
            </w:r>
            <w:r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4,0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%</w:t>
            </w:r>
          </w:p>
          <w:p w14:paraId="47D777F9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</w:tr>
    </w:tbl>
    <w:p w14:paraId="42B8E888">
      <w:pPr>
        <w:pStyle w:val="13"/>
        <w:spacing w:after="20" w:line="240" w:lineRule="auto"/>
        <w:rPr>
          <w:szCs w:val="28"/>
        </w:rPr>
      </w:pPr>
    </w:p>
    <w:p w14:paraId="44271AAE">
      <w:pPr>
        <w:pStyle w:val="13"/>
        <w:numPr>
          <w:ilvl w:val="0"/>
          <w:numId w:val="1"/>
        </w:numPr>
        <w:spacing w:after="20" w:line="240" w:lineRule="auto"/>
        <w:rPr>
          <w:szCs w:val="28"/>
        </w:rPr>
      </w:pPr>
      <w:r>
        <w:rPr>
          <w:szCs w:val="28"/>
        </w:rPr>
        <w:t>Этапы и сроки реализации муниципальной подпрограммы:</w:t>
      </w:r>
    </w:p>
    <w:p w14:paraId="5AF22EA2">
      <w:pPr>
        <w:pStyle w:val="13"/>
        <w:spacing w:after="20" w:line="240" w:lineRule="auto"/>
        <w:rPr>
          <w:szCs w:val="28"/>
        </w:rPr>
      </w:pPr>
      <w:r>
        <w:rPr>
          <w:szCs w:val="28"/>
        </w:rPr>
        <w:t>2025-2027 г.</w:t>
      </w:r>
    </w:p>
    <w:p w14:paraId="26DDE880">
      <w:pPr>
        <w:pStyle w:val="13"/>
        <w:spacing w:after="20" w:line="240" w:lineRule="auto"/>
        <w:rPr>
          <w:szCs w:val="28"/>
        </w:rPr>
      </w:pPr>
    </w:p>
    <w:p w14:paraId="5F7EAED5">
      <w:pPr>
        <w:pStyle w:val="13"/>
        <w:numPr>
          <w:ilvl w:val="0"/>
          <w:numId w:val="1"/>
        </w:numPr>
        <w:spacing w:after="20" w:line="240" w:lineRule="auto"/>
        <w:rPr>
          <w:szCs w:val="28"/>
        </w:rPr>
      </w:pPr>
      <w:r>
        <w:rPr>
          <w:szCs w:val="28"/>
        </w:rPr>
        <w:t>Объемы бюджетных ассигнований и источники финансирования.</w:t>
      </w:r>
    </w:p>
    <w:p w14:paraId="4C1B4F6A">
      <w:pPr>
        <w:pStyle w:val="13"/>
        <w:numPr>
          <w:numId w:val="0"/>
        </w:numPr>
        <w:spacing w:after="20" w:line="240" w:lineRule="auto"/>
        <w:ind w:left="360" w:leftChars="0"/>
        <w:rPr>
          <w:szCs w:val="28"/>
        </w:rPr>
      </w:pPr>
    </w:p>
    <w:tbl>
      <w:tblPr>
        <w:tblStyle w:val="12"/>
        <w:tblW w:w="9516" w:type="dxa"/>
        <w:tblInd w:w="1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814"/>
        <w:gridCol w:w="1630"/>
        <w:gridCol w:w="2016"/>
        <w:gridCol w:w="1308"/>
        <w:gridCol w:w="1932"/>
      </w:tblGrid>
      <w:tr w14:paraId="2A980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restart"/>
          </w:tcPr>
          <w:p w14:paraId="32E5238E">
            <w:pPr>
              <w:pStyle w:val="13"/>
              <w:spacing w:after="20" w:line="240" w:lineRule="auto"/>
              <w:ind w:left="-111"/>
              <w:rPr>
                <w:szCs w:val="28"/>
              </w:rPr>
            </w:pPr>
            <w:r>
              <w:rPr>
                <w:szCs w:val="28"/>
              </w:rPr>
              <w:t xml:space="preserve">Год </w:t>
            </w:r>
          </w:p>
        </w:tc>
        <w:tc>
          <w:tcPr>
            <w:tcW w:w="8700" w:type="dxa"/>
            <w:gridSpan w:val="5"/>
          </w:tcPr>
          <w:p w14:paraId="5D71A9C7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Источник финансирования (руб.коп.)</w:t>
            </w:r>
          </w:p>
        </w:tc>
      </w:tr>
      <w:tr w14:paraId="1C12E3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Merge w:val="continue"/>
          </w:tcPr>
          <w:p w14:paraId="7C0E7F80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814" w:type="dxa"/>
          </w:tcPr>
          <w:p w14:paraId="43F7F779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Област</w:t>
            </w:r>
          </w:p>
          <w:p w14:paraId="4D6FF3B7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ной бюджет</w:t>
            </w:r>
          </w:p>
        </w:tc>
        <w:tc>
          <w:tcPr>
            <w:tcW w:w="1630" w:type="dxa"/>
          </w:tcPr>
          <w:p w14:paraId="1B4C76F4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2016" w:type="dxa"/>
          </w:tcPr>
          <w:p w14:paraId="4902E8F5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1308" w:type="dxa"/>
          </w:tcPr>
          <w:p w14:paraId="52CA2293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Вне</w:t>
            </w:r>
          </w:p>
          <w:p w14:paraId="2691FAD8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бюджетные средства</w:t>
            </w:r>
          </w:p>
        </w:tc>
        <w:tc>
          <w:tcPr>
            <w:tcW w:w="1932" w:type="dxa"/>
          </w:tcPr>
          <w:p w14:paraId="4F15FFA1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14:paraId="43BDC4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4FE00EB4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14" w:type="dxa"/>
          </w:tcPr>
          <w:p w14:paraId="328E0B50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630" w:type="dxa"/>
          </w:tcPr>
          <w:p w14:paraId="7267D100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016" w:type="dxa"/>
          </w:tcPr>
          <w:p w14:paraId="2F177CC2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08" w:type="dxa"/>
          </w:tcPr>
          <w:p w14:paraId="1731972F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32" w:type="dxa"/>
          </w:tcPr>
          <w:p w14:paraId="122BB7FB">
            <w:pPr>
              <w:pStyle w:val="13"/>
              <w:spacing w:after="20" w:line="240" w:lineRule="auto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14:paraId="784AC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3AA33362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2025</w:t>
            </w:r>
          </w:p>
        </w:tc>
        <w:tc>
          <w:tcPr>
            <w:tcW w:w="1814" w:type="dxa"/>
          </w:tcPr>
          <w:p w14:paraId="16F083B5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714 620,00</w:t>
            </w:r>
          </w:p>
        </w:tc>
        <w:tc>
          <w:tcPr>
            <w:tcW w:w="1630" w:type="dxa"/>
          </w:tcPr>
          <w:p w14:paraId="27E47778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2016" w:type="dxa"/>
          </w:tcPr>
          <w:p w14:paraId="1C2700BA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1 664 736,34 </w:t>
            </w:r>
          </w:p>
        </w:tc>
        <w:tc>
          <w:tcPr>
            <w:tcW w:w="1308" w:type="dxa"/>
          </w:tcPr>
          <w:p w14:paraId="7F7329FE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32" w:type="dxa"/>
          </w:tcPr>
          <w:p w14:paraId="67D348F6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2 379 356,34</w:t>
            </w:r>
          </w:p>
        </w:tc>
      </w:tr>
      <w:tr w14:paraId="60DBB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9D40643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814" w:type="dxa"/>
          </w:tcPr>
          <w:p w14:paraId="7A16B1C4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714 620,00  </w:t>
            </w:r>
          </w:p>
        </w:tc>
        <w:tc>
          <w:tcPr>
            <w:tcW w:w="1630" w:type="dxa"/>
          </w:tcPr>
          <w:p w14:paraId="542165EA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2016" w:type="dxa"/>
          </w:tcPr>
          <w:p w14:paraId="7EDF2327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1 652 115,34</w:t>
            </w:r>
          </w:p>
        </w:tc>
        <w:tc>
          <w:tcPr>
            <w:tcW w:w="1308" w:type="dxa"/>
          </w:tcPr>
          <w:p w14:paraId="171E8B81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32" w:type="dxa"/>
          </w:tcPr>
          <w:p w14:paraId="5D9AB788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2 366 735,34</w:t>
            </w:r>
          </w:p>
        </w:tc>
      </w:tr>
      <w:tr w14:paraId="1D1168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548925AD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814" w:type="dxa"/>
          </w:tcPr>
          <w:p w14:paraId="0C79EB7D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714 620,00 </w:t>
            </w:r>
          </w:p>
        </w:tc>
        <w:tc>
          <w:tcPr>
            <w:tcW w:w="1630" w:type="dxa"/>
          </w:tcPr>
          <w:p w14:paraId="60E66268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2016" w:type="dxa"/>
          </w:tcPr>
          <w:p w14:paraId="386605F1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1 652 115,34</w:t>
            </w:r>
          </w:p>
        </w:tc>
        <w:tc>
          <w:tcPr>
            <w:tcW w:w="1308" w:type="dxa"/>
          </w:tcPr>
          <w:p w14:paraId="0FA043F9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32" w:type="dxa"/>
          </w:tcPr>
          <w:p w14:paraId="739837B1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2 366 735,34</w:t>
            </w:r>
          </w:p>
        </w:tc>
      </w:tr>
      <w:tr w14:paraId="6B38D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6AF69FA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  <w:tc>
          <w:tcPr>
            <w:tcW w:w="1814" w:type="dxa"/>
          </w:tcPr>
          <w:p w14:paraId="1F62699B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2 143 860,00  </w:t>
            </w:r>
          </w:p>
        </w:tc>
        <w:tc>
          <w:tcPr>
            <w:tcW w:w="1630" w:type="dxa"/>
          </w:tcPr>
          <w:p w14:paraId="1537CA99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2016" w:type="dxa"/>
          </w:tcPr>
          <w:p w14:paraId="753D1EF3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4 968 967,02</w:t>
            </w:r>
          </w:p>
        </w:tc>
        <w:tc>
          <w:tcPr>
            <w:tcW w:w="1308" w:type="dxa"/>
          </w:tcPr>
          <w:p w14:paraId="7F89645A">
            <w:pPr>
              <w:pStyle w:val="13"/>
              <w:spacing w:after="20" w:line="240" w:lineRule="auto"/>
              <w:ind w:left="0"/>
              <w:rPr>
                <w:szCs w:val="28"/>
              </w:rPr>
            </w:pPr>
          </w:p>
        </w:tc>
        <w:tc>
          <w:tcPr>
            <w:tcW w:w="1932" w:type="dxa"/>
          </w:tcPr>
          <w:p w14:paraId="5CAE04BD">
            <w:pPr>
              <w:pStyle w:val="13"/>
              <w:spacing w:after="20" w:line="240" w:lineRule="auto"/>
              <w:ind w:left="0"/>
              <w:rPr>
                <w:szCs w:val="28"/>
              </w:rPr>
            </w:pPr>
            <w:r>
              <w:rPr>
                <w:szCs w:val="28"/>
              </w:rPr>
              <w:t>7 112 827,02</w:t>
            </w:r>
          </w:p>
        </w:tc>
      </w:tr>
    </w:tbl>
    <w:p w14:paraId="79E6219E">
      <w:pPr>
        <w:pStyle w:val="13"/>
        <w:spacing w:after="20" w:line="240" w:lineRule="auto"/>
        <w:rPr>
          <w:szCs w:val="28"/>
        </w:rPr>
      </w:pPr>
    </w:p>
    <w:p w14:paraId="3A8FBEBB">
      <w:pPr>
        <w:pStyle w:val="13"/>
        <w:spacing w:after="20" w:line="240" w:lineRule="auto"/>
        <w:rPr>
          <w:szCs w:val="28"/>
        </w:rPr>
      </w:pPr>
    </w:p>
    <w:p w14:paraId="6C3C9957">
      <w:pPr>
        <w:pStyle w:val="13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Ожидаемые конечные результаты реализации подпрограммы.</w:t>
      </w:r>
    </w:p>
    <w:p w14:paraId="750F1321">
      <w:pPr>
        <w:pStyle w:val="13"/>
        <w:spacing w:after="20" w:line="240" w:lineRule="auto"/>
        <w:jc w:val="both"/>
        <w:rPr>
          <w:szCs w:val="28"/>
        </w:rPr>
      </w:pPr>
    </w:p>
    <w:p w14:paraId="4EB31086">
      <w:pPr>
        <w:pStyle w:val="13"/>
        <w:spacing w:after="20" w:line="240" w:lineRule="auto"/>
        <w:ind w:left="0"/>
        <w:jc w:val="both"/>
        <w:rPr>
          <w:szCs w:val="28"/>
        </w:rPr>
      </w:pPr>
      <w:r>
        <w:rPr>
          <w:szCs w:val="28"/>
        </w:rPr>
        <w:t>По итогам реализации настоящей подпрограммы прогнозируются:</w:t>
      </w:r>
    </w:p>
    <w:p w14:paraId="0AC6E008">
      <w:pPr>
        <w:pStyle w:val="13"/>
        <w:spacing w:after="20" w:line="240" w:lineRule="auto"/>
        <w:ind w:left="0" w:leftChars="0" w:firstLine="0" w:firstLineChars="0"/>
        <w:jc w:val="both"/>
        <w:rPr>
          <w:szCs w:val="28"/>
        </w:rPr>
      </w:pPr>
      <w:r>
        <w:rPr>
          <w:szCs w:val="28"/>
        </w:rPr>
        <w:t>-увеличение доли населения выполнившего нормативы ВФСК «ГТО» в Аргаяшском муниципальном районе в возрасте от 6 лет и старше, включая людей с ограниченными возможностями.</w:t>
      </w:r>
    </w:p>
    <w:p w14:paraId="5BF126A1">
      <w:pPr>
        <w:pStyle w:val="13"/>
        <w:spacing w:after="20" w:line="240" w:lineRule="auto"/>
        <w:ind w:left="0" w:leftChars="0" w:firstLine="0" w:firstLineChars="0"/>
        <w:jc w:val="both"/>
        <w:rPr>
          <w:szCs w:val="28"/>
        </w:rPr>
      </w:pPr>
      <w:r>
        <w:rPr>
          <w:szCs w:val="28"/>
        </w:rPr>
        <w:t>-участие в финале областных спортивных мероприятий.</w:t>
      </w:r>
    </w:p>
    <w:p w14:paraId="46CA0764">
      <w:pPr>
        <w:pStyle w:val="13"/>
        <w:spacing w:after="20" w:line="240" w:lineRule="auto"/>
        <w:ind w:left="0"/>
        <w:jc w:val="both"/>
        <w:rPr>
          <w:szCs w:val="28"/>
        </w:rPr>
      </w:pPr>
    </w:p>
    <w:p w14:paraId="5010216F">
      <w:pPr>
        <w:pStyle w:val="13"/>
        <w:spacing w:after="20" w:line="240" w:lineRule="auto"/>
        <w:ind w:left="0"/>
        <w:jc w:val="both"/>
        <w:rPr>
          <w:szCs w:val="28"/>
        </w:rPr>
      </w:pPr>
    </w:p>
    <w:p w14:paraId="0C3E48A1">
      <w:pPr>
        <w:pStyle w:val="13"/>
        <w:numPr>
          <w:ilvl w:val="0"/>
          <w:numId w:val="1"/>
        </w:numPr>
        <w:spacing w:after="20" w:line="240" w:lineRule="auto"/>
        <w:jc w:val="both"/>
        <w:rPr>
          <w:szCs w:val="28"/>
        </w:rPr>
      </w:pPr>
      <w:r>
        <w:rPr>
          <w:szCs w:val="28"/>
        </w:rPr>
        <w:t>Целевые индикаторы и показатели муниципальной подпрограммы.</w:t>
      </w:r>
    </w:p>
    <w:p w14:paraId="21E14066">
      <w:pPr>
        <w:spacing w:after="20" w:line="240" w:lineRule="auto"/>
        <w:ind w:left="360"/>
        <w:jc w:val="both"/>
        <w:rPr>
          <w:szCs w:val="28"/>
        </w:rPr>
      </w:pPr>
    </w:p>
    <w:tbl>
      <w:tblPr>
        <w:tblStyle w:val="5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2"/>
        <w:gridCol w:w="2932"/>
        <w:gridCol w:w="2789"/>
      </w:tblGrid>
      <w:tr w14:paraId="60D01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722" w:type="dxa"/>
          </w:tcPr>
          <w:p w14:paraId="09DA955A">
            <w:pPr>
              <w:spacing w:after="20" w:line="240" w:lineRule="auto"/>
              <w:ind w:left="-261" w:leftChars="-100" w:hanging="19" w:hangingChars="7"/>
              <w:jc w:val="center"/>
              <w:rPr>
                <w:szCs w:val="28"/>
              </w:rPr>
            </w:pPr>
            <w:bookmarkStart w:id="0" w:name="_GoBack" w:colFirst="0" w:colLast="0"/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2932" w:type="dxa"/>
          </w:tcPr>
          <w:p w14:paraId="6D4357D1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</w:t>
            </w:r>
          </w:p>
        </w:tc>
        <w:tc>
          <w:tcPr>
            <w:tcW w:w="2789" w:type="dxa"/>
          </w:tcPr>
          <w:p w14:paraId="425733B6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Плановый показатель</w:t>
            </w:r>
          </w:p>
        </w:tc>
      </w:tr>
      <w:bookmarkEnd w:id="0"/>
      <w:tr w14:paraId="3C00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3722" w:type="dxa"/>
          </w:tcPr>
          <w:p w14:paraId="15FB3CDE">
            <w:pPr>
              <w:spacing w:after="20" w:line="240" w:lineRule="auto"/>
              <w:rPr>
                <w:szCs w:val="28"/>
              </w:rPr>
            </w:pPr>
            <w:r>
              <w:rPr>
                <w:szCs w:val="28"/>
              </w:rPr>
              <w:t>Доля населения выполнившего нормативы испытаний (тестов) комплекса ГТО на знаки отличия, от общей численности населения проживающего на территории Аргаяшского муниципального района в возрасте от 6 лет.</w:t>
            </w:r>
          </w:p>
        </w:tc>
        <w:tc>
          <w:tcPr>
            <w:tcW w:w="2932" w:type="dxa"/>
          </w:tcPr>
          <w:p w14:paraId="4AF57271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%  выполнивших</w:t>
            </w:r>
          </w:p>
        </w:tc>
        <w:tc>
          <w:tcPr>
            <w:tcW w:w="2789" w:type="dxa"/>
          </w:tcPr>
          <w:p w14:paraId="5EBE0C88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2025 г.-2027 г.</w:t>
            </w:r>
          </w:p>
          <w:p w14:paraId="22B35B9C">
            <w:pPr>
              <w:spacing w:after="2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3,0 %-4,0 %</w:t>
            </w:r>
          </w:p>
        </w:tc>
      </w:tr>
    </w:tbl>
    <w:p w14:paraId="2216EE76">
      <w:pPr>
        <w:spacing w:after="20" w:line="240" w:lineRule="auto"/>
        <w:ind w:firstLine="360"/>
        <w:jc w:val="both"/>
        <w:rPr>
          <w:szCs w:val="28"/>
        </w:rPr>
      </w:pPr>
    </w:p>
    <w:p w14:paraId="42D7452C">
      <w:pPr>
        <w:spacing w:after="20" w:line="240" w:lineRule="auto"/>
        <w:ind w:firstLine="360"/>
        <w:jc w:val="both"/>
        <w:rPr>
          <w:szCs w:val="28"/>
        </w:rPr>
      </w:pPr>
    </w:p>
    <w:sectPr>
      <w:headerReference r:id="rId5" w:type="default"/>
      <w:pgSz w:w="11906" w:h="16838"/>
      <w:pgMar w:top="426" w:right="850" w:bottom="568" w:left="1701" w:header="708" w:footer="708" w:gutter="0"/>
      <w:pgNumType w:start="1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788044"/>
    </w:sdtPr>
    <w:sdtContent>
      <w:p w14:paraId="760D61BA">
        <w:pPr>
          <w:pStyle w:val="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ED06C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B3F25"/>
    <w:multiLevelType w:val="multilevel"/>
    <w:tmpl w:val="422B3F2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89"/>
    <w:rsid w:val="000057BB"/>
    <w:rsid w:val="000126D7"/>
    <w:rsid w:val="00030F93"/>
    <w:rsid w:val="00053104"/>
    <w:rsid w:val="0006036E"/>
    <w:rsid w:val="000D4A03"/>
    <w:rsid w:val="000F642F"/>
    <w:rsid w:val="00102B02"/>
    <w:rsid w:val="001205DB"/>
    <w:rsid w:val="00133E85"/>
    <w:rsid w:val="00164C7B"/>
    <w:rsid w:val="00165E1E"/>
    <w:rsid w:val="00170B44"/>
    <w:rsid w:val="001765BD"/>
    <w:rsid w:val="00191DC4"/>
    <w:rsid w:val="001A422D"/>
    <w:rsid w:val="00237B8C"/>
    <w:rsid w:val="00266F96"/>
    <w:rsid w:val="00280F3D"/>
    <w:rsid w:val="00293A88"/>
    <w:rsid w:val="002A6415"/>
    <w:rsid w:val="002A66D3"/>
    <w:rsid w:val="002D6A67"/>
    <w:rsid w:val="002F32D5"/>
    <w:rsid w:val="002F560D"/>
    <w:rsid w:val="003240A5"/>
    <w:rsid w:val="00326153"/>
    <w:rsid w:val="0032706E"/>
    <w:rsid w:val="00331FFF"/>
    <w:rsid w:val="00333094"/>
    <w:rsid w:val="00335CD1"/>
    <w:rsid w:val="0034106C"/>
    <w:rsid w:val="0036300F"/>
    <w:rsid w:val="003872BA"/>
    <w:rsid w:val="00390364"/>
    <w:rsid w:val="00391E88"/>
    <w:rsid w:val="003D063B"/>
    <w:rsid w:val="003D7235"/>
    <w:rsid w:val="003E4138"/>
    <w:rsid w:val="00402E69"/>
    <w:rsid w:val="0041736C"/>
    <w:rsid w:val="00421485"/>
    <w:rsid w:val="004364AC"/>
    <w:rsid w:val="00443E32"/>
    <w:rsid w:val="00454A22"/>
    <w:rsid w:val="00475CBB"/>
    <w:rsid w:val="004966D1"/>
    <w:rsid w:val="004A29BB"/>
    <w:rsid w:val="004A3FCA"/>
    <w:rsid w:val="004B237C"/>
    <w:rsid w:val="004C0A9E"/>
    <w:rsid w:val="004C1139"/>
    <w:rsid w:val="004D5D35"/>
    <w:rsid w:val="0050080F"/>
    <w:rsid w:val="00510975"/>
    <w:rsid w:val="005163D2"/>
    <w:rsid w:val="005165F2"/>
    <w:rsid w:val="00523769"/>
    <w:rsid w:val="00526CC3"/>
    <w:rsid w:val="00535C17"/>
    <w:rsid w:val="0057435C"/>
    <w:rsid w:val="00581DAC"/>
    <w:rsid w:val="00584080"/>
    <w:rsid w:val="005913A4"/>
    <w:rsid w:val="005A2EF3"/>
    <w:rsid w:val="005A3A7C"/>
    <w:rsid w:val="005D0773"/>
    <w:rsid w:val="005D3381"/>
    <w:rsid w:val="005E360E"/>
    <w:rsid w:val="005F2AF8"/>
    <w:rsid w:val="006177D1"/>
    <w:rsid w:val="00626B8D"/>
    <w:rsid w:val="00646525"/>
    <w:rsid w:val="0065047C"/>
    <w:rsid w:val="00671A27"/>
    <w:rsid w:val="00680E39"/>
    <w:rsid w:val="00696054"/>
    <w:rsid w:val="00696C5F"/>
    <w:rsid w:val="006A187E"/>
    <w:rsid w:val="006A457F"/>
    <w:rsid w:val="006C7EA8"/>
    <w:rsid w:val="006D126D"/>
    <w:rsid w:val="006E0D9F"/>
    <w:rsid w:val="006F1F1E"/>
    <w:rsid w:val="00706913"/>
    <w:rsid w:val="007256D4"/>
    <w:rsid w:val="00730231"/>
    <w:rsid w:val="00756141"/>
    <w:rsid w:val="007710B3"/>
    <w:rsid w:val="007853DB"/>
    <w:rsid w:val="007A0BB4"/>
    <w:rsid w:val="007B68BA"/>
    <w:rsid w:val="007C7B20"/>
    <w:rsid w:val="007F605B"/>
    <w:rsid w:val="00803D42"/>
    <w:rsid w:val="008173A4"/>
    <w:rsid w:val="0082351D"/>
    <w:rsid w:val="00826A6C"/>
    <w:rsid w:val="008370BF"/>
    <w:rsid w:val="00845B7B"/>
    <w:rsid w:val="00846BC2"/>
    <w:rsid w:val="00846BEA"/>
    <w:rsid w:val="00890189"/>
    <w:rsid w:val="008C12BB"/>
    <w:rsid w:val="008C1370"/>
    <w:rsid w:val="008F0923"/>
    <w:rsid w:val="008F5680"/>
    <w:rsid w:val="0090134B"/>
    <w:rsid w:val="00904246"/>
    <w:rsid w:val="0092073E"/>
    <w:rsid w:val="00924297"/>
    <w:rsid w:val="009915A2"/>
    <w:rsid w:val="0099595B"/>
    <w:rsid w:val="009B1071"/>
    <w:rsid w:val="009B5916"/>
    <w:rsid w:val="009D759A"/>
    <w:rsid w:val="009F36B9"/>
    <w:rsid w:val="009F7E44"/>
    <w:rsid w:val="00A33ECF"/>
    <w:rsid w:val="00A45830"/>
    <w:rsid w:val="00A50318"/>
    <w:rsid w:val="00A52D3E"/>
    <w:rsid w:val="00A93481"/>
    <w:rsid w:val="00A939C0"/>
    <w:rsid w:val="00AA690F"/>
    <w:rsid w:val="00AB355E"/>
    <w:rsid w:val="00AC7A40"/>
    <w:rsid w:val="00AD1521"/>
    <w:rsid w:val="00AD5E4E"/>
    <w:rsid w:val="00AF3F69"/>
    <w:rsid w:val="00AF59B2"/>
    <w:rsid w:val="00B450D0"/>
    <w:rsid w:val="00B6130B"/>
    <w:rsid w:val="00B64EA5"/>
    <w:rsid w:val="00B92E2B"/>
    <w:rsid w:val="00BB660E"/>
    <w:rsid w:val="00BE0B35"/>
    <w:rsid w:val="00BF1D28"/>
    <w:rsid w:val="00C16D48"/>
    <w:rsid w:val="00C207CD"/>
    <w:rsid w:val="00C31B4B"/>
    <w:rsid w:val="00C40595"/>
    <w:rsid w:val="00C41BEA"/>
    <w:rsid w:val="00C42018"/>
    <w:rsid w:val="00C56BB1"/>
    <w:rsid w:val="00CA0232"/>
    <w:rsid w:val="00CA2966"/>
    <w:rsid w:val="00CB2473"/>
    <w:rsid w:val="00D03CD3"/>
    <w:rsid w:val="00D206B9"/>
    <w:rsid w:val="00D40135"/>
    <w:rsid w:val="00D57303"/>
    <w:rsid w:val="00D660FD"/>
    <w:rsid w:val="00D71BFF"/>
    <w:rsid w:val="00D740C1"/>
    <w:rsid w:val="00D77AA0"/>
    <w:rsid w:val="00D975BD"/>
    <w:rsid w:val="00DF4F54"/>
    <w:rsid w:val="00E07B7D"/>
    <w:rsid w:val="00E1310D"/>
    <w:rsid w:val="00E41350"/>
    <w:rsid w:val="00E64972"/>
    <w:rsid w:val="00EB262D"/>
    <w:rsid w:val="00EB3083"/>
    <w:rsid w:val="00ED4E79"/>
    <w:rsid w:val="00EE34B2"/>
    <w:rsid w:val="00F45545"/>
    <w:rsid w:val="00F60093"/>
    <w:rsid w:val="00F60D8E"/>
    <w:rsid w:val="00F6501E"/>
    <w:rsid w:val="00F915DA"/>
    <w:rsid w:val="00FB7330"/>
    <w:rsid w:val="00FE13F4"/>
    <w:rsid w:val="00FE20A1"/>
    <w:rsid w:val="00FE4303"/>
    <w:rsid w:val="00FE6517"/>
    <w:rsid w:val="117B62F8"/>
    <w:rsid w:val="4ADB4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cs="Times New Roman" w:eastAsiaTheme="minorHAns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4"/>
    <w:basedOn w:val="1"/>
    <w:link w:val="17"/>
    <w:qFormat/>
    <w:uiPriority w:val="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Body Text 2"/>
    <w:basedOn w:val="1"/>
    <w:link w:val="15"/>
    <w:semiHidden/>
    <w:qFormat/>
    <w:uiPriority w:val="0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8"/>
      <w:lang w:eastAsia="ru-RU"/>
    </w:rPr>
  </w:style>
  <w:style w:type="paragraph" w:styleId="9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12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apple-converted-space"/>
    <w:basedOn w:val="4"/>
    <w:qFormat/>
    <w:uiPriority w:val="0"/>
  </w:style>
  <w:style w:type="character" w:customStyle="1" w:styleId="15">
    <w:name w:val="Основной текст 2 Знак"/>
    <w:basedOn w:val="4"/>
    <w:link w:val="8"/>
    <w:semiHidden/>
    <w:qFormat/>
    <w:uiPriority w:val="0"/>
    <w:rPr>
      <w:rFonts w:eastAsia="Times New Roman"/>
      <w:szCs w:val="28"/>
      <w:lang w:eastAsia="ru-RU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character" w:customStyle="1" w:styleId="17">
    <w:name w:val="Заголовок 4 Знак"/>
    <w:basedOn w:val="4"/>
    <w:link w:val="3"/>
    <w:qFormat/>
    <w:uiPriority w:val="9"/>
    <w:rPr>
      <w:rFonts w:eastAsia="Times New Roman"/>
      <w:b/>
      <w:bCs/>
      <w:sz w:val="24"/>
      <w:szCs w:val="24"/>
      <w:lang w:eastAsia="ru-RU"/>
    </w:rPr>
  </w:style>
  <w:style w:type="character" w:customStyle="1" w:styleId="18">
    <w:name w:val="Верхний колонтитул Знак"/>
    <w:basedOn w:val="4"/>
    <w:link w:val="9"/>
    <w:qFormat/>
    <w:uiPriority w:val="99"/>
  </w:style>
  <w:style w:type="character" w:customStyle="1" w:styleId="19">
    <w:name w:val="Нижний колонтитул Знак"/>
    <w:basedOn w:val="4"/>
    <w:link w:val="10"/>
    <w:uiPriority w:val="99"/>
  </w:style>
  <w:style w:type="character" w:customStyle="1" w:styleId="20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25A93-883A-47E9-BD5D-4901CB5A02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515</Words>
  <Characters>2940</Characters>
  <Lines>24</Lines>
  <Paragraphs>6</Paragraphs>
  <TotalTime>38</TotalTime>
  <ScaleCrop>false</ScaleCrop>
  <LinksUpToDate>false</LinksUpToDate>
  <CharactersWithSpaces>3449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2019-04-26T04:47:00Z</dcterms:created>
  <dc:creator>ГТО</dc:creator>
  <cp:lastModifiedBy>WPS_1729073122</cp:lastModifiedBy>
  <cp:lastPrinted>2026-01-14T04:20:26Z</cp:lastPrinted>
  <dcterms:modified xsi:type="dcterms:W3CDTF">2026-01-14T04:20:34Z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FB2974098E864D019DD01FCD0661FB3C_13</vt:lpwstr>
  </property>
</Properties>
</file>