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ПРИЛОЖЕНИЕ </w:t>
      </w:r>
      <w:r w:rsidR="00A001A7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1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к муниципальной программе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«Развитие физической культуры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и спорта в Аргаяшском 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муниципальном районе»</w:t>
      </w:r>
    </w:p>
    <w:p w:rsidR="0064030B" w:rsidRDefault="0064030B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right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4030B" w:rsidRDefault="0064030B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bookmarkStart w:id="0" w:name="bookmark0"/>
      <w:r>
        <w:rPr>
          <w:rFonts w:eastAsia="Calibri" w:cs="Times New Roman"/>
          <w:bCs/>
          <w:color w:val="000000"/>
          <w:sz w:val="28"/>
          <w:szCs w:val="28"/>
        </w:rPr>
        <w:t>М</w:t>
      </w:r>
      <w:bookmarkEnd w:id="0"/>
      <w:r>
        <w:rPr>
          <w:rFonts w:eastAsia="Calibri" w:cs="Times New Roman"/>
          <w:bCs/>
          <w:color w:val="000000"/>
          <w:sz w:val="28"/>
          <w:szCs w:val="28"/>
        </w:rPr>
        <w:t>униципальная подпрограмма</w:t>
      </w:r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bookmarkStart w:id="1" w:name="bookmark1"/>
      <w:r>
        <w:rPr>
          <w:rFonts w:eastAsia="Calibri" w:cs="Times New Roman"/>
          <w:bCs/>
          <w:color w:val="000000"/>
          <w:sz w:val="28"/>
          <w:szCs w:val="28"/>
        </w:rPr>
        <w:t>«Функционирование системы физической культуры и спорта в Аргаяшском муниципальном районе»</w:t>
      </w:r>
      <w:bookmarkEnd w:id="1"/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 МУНИЦИПАЛЬНОЙ ПОДПРОГРАММЫ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Муниципальная подпрограмма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«Функционирование системы физической культуры и спорта в Аргаяшском муниципальном районе»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Основание для разработки              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 Федеральный закон от 04.12.2007г. №329-Ф3 «О физической культуре и спорте в Российской Федерации»;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Государственная программа Российской Федерации «Развитие физической культуры и спорта»;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Федеральный закон от 06.10.2003 г. № 131-ФЗ «Об общих принципах организации местного самоуправления в Российской Федерации»;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-Закон Челябинской области «О физической культуре и спорте в Челябинской области</w:t>
            </w:r>
          </w:p>
        </w:tc>
      </w:tr>
      <w:tr w:rsidR="0064030B">
        <w:trPr>
          <w:trHeight w:val="1078"/>
        </w:trPr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widowControl w:val="0"/>
              <w:tabs>
                <w:tab w:val="left" w:pos="4111"/>
              </w:tabs>
              <w:spacing w:before="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Аргаяшского </w:t>
            </w:r>
          </w:p>
          <w:p w:rsidR="0064030B" w:rsidRDefault="00C43449">
            <w:pPr>
              <w:widowControl w:val="0"/>
              <w:tabs>
                <w:tab w:val="left" w:pos="4111"/>
              </w:tabs>
              <w:spacing w:before="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района</w:t>
            </w:r>
          </w:p>
          <w:p w:rsidR="0064030B" w:rsidRDefault="0064030B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Разработчик  и  исполнитель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учреждение Аргаяшского муни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ципального района «Физкультура и спорт»</w:t>
            </w:r>
          </w:p>
        </w:tc>
      </w:tr>
      <w:tr w:rsidR="0064030B">
        <w:trPr>
          <w:trHeight w:val="517"/>
        </w:trPr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Сроки реализации подпрограммы 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2025-2027 годы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right="20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Цель и задачи подпрограммы</w:t>
            </w:r>
          </w:p>
          <w:p w:rsidR="0064030B" w:rsidRDefault="0064030B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Сохранение и укрепление здоровья населения Аргаяшского  муниципального района  посредством вовлечения людей в систематические занятия физической культурой и спортом.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обеспечение дальнейшего развития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материально-технической базы учреждений в сфере физической культуры и спорта, ее эффективное использование;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повышение эффективности физкультурно-спортивной работы с детьми, подростками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молодежью, в том числе с несовершеннолетними, находящимися в социально опасном положении, имеющими ограниченные возможности здоровья;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осуществление развития физкультурно-спортивной работы с населением Аргаяшского муниципального района по месту жительства;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обеспечение строительства новых объектов спорта, ремонт и реконструкция уже имеющихся;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повышение эффективности работы средств массовой информации по информационной поддержке развития физической культуры и спорта, популяризации  здорового  образа жизни среди населения Аргаяшского муниципального района.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Решение поставленных задач предполагается посредством проведения ряда мероприятий по следующим направлениям: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Style w:val="12pt"/>
                <w:rFonts w:eastAsia="Calibri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формирование </w:t>
            </w:r>
            <w:r>
              <w:rPr>
                <w:rStyle w:val="12pt"/>
                <w:rFonts w:eastAsiaTheme="minorHAnsi"/>
                <w:sz w:val="28"/>
                <w:szCs w:val="28"/>
              </w:rPr>
              <w:t>организационных условий и нормативно-правового, методического и информационного обеспечения развития физической культуры и спорта;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- организационное и кадровое обеспечение;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- материально-техническое обеспечение процесса 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- физическая культура и спорт среди инвалидов и лиц пожилого возраста;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Style w:val="12pt"/>
                <w:rFonts w:eastAsiaTheme="minorHAnsi"/>
                <w:sz w:val="28"/>
                <w:szCs w:val="28"/>
              </w:rPr>
              <w:t>- развитие системы проведения физкультурно-массовых  мероприятий.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Объемы и источники                       </w:t>
            </w:r>
          </w:p>
        </w:tc>
        <w:tc>
          <w:tcPr>
            <w:tcW w:w="6628" w:type="dxa"/>
          </w:tcPr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B50209">
              <w:rPr>
                <w:sz w:val="28"/>
                <w:szCs w:val="28"/>
              </w:rPr>
              <w:t>1</w:t>
            </w:r>
            <w:r w:rsidR="00B96AD4">
              <w:rPr>
                <w:sz w:val="28"/>
                <w:szCs w:val="28"/>
              </w:rPr>
              <w:t>6</w:t>
            </w:r>
            <w:r w:rsidR="00183454">
              <w:rPr>
                <w:sz w:val="28"/>
                <w:szCs w:val="28"/>
              </w:rPr>
              <w:t>1 963 255</w:t>
            </w:r>
            <w:r w:rsidR="00B96AD4">
              <w:rPr>
                <w:sz w:val="28"/>
                <w:szCs w:val="28"/>
              </w:rPr>
              <w:t xml:space="preserve"> руб. 06</w:t>
            </w:r>
            <w:r>
              <w:rPr>
                <w:sz w:val="28"/>
                <w:szCs w:val="28"/>
              </w:rPr>
              <w:t xml:space="preserve"> коп.                                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том числе за счет средств: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right="2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 бюджета </w:t>
            </w:r>
            <w:r>
              <w:rPr>
                <w:color w:val="000000"/>
                <w:sz w:val="28"/>
                <w:szCs w:val="28"/>
                <w:lang w:eastAsia="ru-RU"/>
              </w:rPr>
              <w:t>Аргаяшского муниципального района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183454">
              <w:rPr>
                <w:rFonts w:cs="Times New Roman"/>
                <w:sz w:val="28"/>
                <w:szCs w:val="28"/>
              </w:rPr>
              <w:t>59 779 955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96AD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06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коп. ;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B50209">
              <w:rPr>
                <w:rFonts w:cs="Times New Roman"/>
                <w:sz w:val="28"/>
                <w:szCs w:val="28"/>
              </w:rPr>
              <w:t>50 991 600</w:t>
            </w:r>
            <w:r w:rsidR="00BC1301">
              <w:rPr>
                <w:rFonts w:cs="Times New Roman"/>
                <w:sz w:val="28"/>
                <w:szCs w:val="28"/>
              </w:rPr>
              <w:t xml:space="preserve"> </w:t>
            </w:r>
            <w:r w:rsid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B50209">
              <w:rPr>
                <w:rFonts w:cs="Times New Roman"/>
                <w:sz w:val="28"/>
                <w:szCs w:val="28"/>
              </w:rPr>
              <w:t>51 191 700</w:t>
            </w:r>
            <w:r w:rsidR="00BC1301">
              <w:rPr>
                <w:rFonts w:cs="Times New Roman"/>
                <w:sz w:val="28"/>
                <w:szCs w:val="28"/>
              </w:rPr>
              <w:t xml:space="preserve"> </w:t>
            </w:r>
            <w:r w:rsid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ходе реализации подпрограммы объемы финансиро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подлежат ежегодному уточнению с учетом реальных возможностей бюджета Аргаяшского муниципального района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конечные  результаты реализации подпрограммы              </w:t>
            </w:r>
          </w:p>
        </w:tc>
        <w:tc>
          <w:tcPr>
            <w:tcW w:w="6628" w:type="dxa"/>
          </w:tcPr>
          <w:p w:rsidR="0064030B" w:rsidRDefault="00C43449">
            <w:pPr>
              <w:widowControl w:val="0"/>
              <w:spacing w:before="20" w:after="20" w:line="240" w:lineRule="auto"/>
              <w:ind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результате реализации подпрограммы</w:t>
            </w:r>
          </w:p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предполагается:</w:t>
            </w:r>
          </w:p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-увеличить долю жителей Аргаяшского муниципального района, систематически занимающихся физической культурой и спортом  до 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62,5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% процентов от общего числа населения Аргаяшского муниципального района;</w:t>
            </w:r>
          </w:p>
          <w:p w:rsidR="0064030B" w:rsidRDefault="0064030B">
            <w:pPr>
              <w:widowControl w:val="0"/>
              <w:tabs>
                <w:tab w:val="left" w:pos="377"/>
              </w:tabs>
              <w:spacing w:before="20" w:after="20" w:line="240" w:lineRule="auto"/>
              <w:ind w:left="3402"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030B" w:rsidRDefault="0064030B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4030B">
        <w:tc>
          <w:tcPr>
            <w:tcW w:w="2943" w:type="dxa"/>
          </w:tcPr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Целевые индикаторы</w:t>
            </w:r>
          </w:p>
        </w:tc>
        <w:tc>
          <w:tcPr>
            <w:tcW w:w="6628" w:type="dxa"/>
          </w:tcPr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 удельный вес населения, систематически занимающегося физической культурой и спортом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г.- 5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,0 %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61,0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%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62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64030B" w:rsidRDefault="0064030B">
      <w:pPr>
        <w:widowControl w:val="0"/>
        <w:tabs>
          <w:tab w:val="left" w:pos="3969"/>
          <w:tab w:val="left" w:pos="4111"/>
        </w:tabs>
        <w:spacing w:before="20" w:after="20" w:line="240" w:lineRule="auto"/>
        <w:rPr>
          <w:rStyle w:val="12pt"/>
          <w:rFonts w:eastAsiaTheme="minorHAnsi"/>
          <w:sz w:val="28"/>
          <w:szCs w:val="28"/>
        </w:rPr>
        <w:sectPr w:rsidR="0064030B">
          <w:headerReference w:type="default" r:id="rId7"/>
          <w:type w:val="continuous"/>
          <w:pgSz w:w="11906" w:h="16838"/>
          <w:pgMar w:top="1134" w:right="850" w:bottom="1134" w:left="1701" w:header="0" w:footer="6" w:gutter="0"/>
          <w:pgNumType w:start="1"/>
          <w:cols w:space="216"/>
          <w:titlePg/>
          <w:docGrid w:linePitch="360"/>
        </w:sectPr>
      </w:pPr>
    </w:p>
    <w:p w:rsidR="0064030B" w:rsidRDefault="0064030B">
      <w:pPr>
        <w:spacing w:before="20" w:after="20" w:line="240" w:lineRule="auto"/>
        <w:rPr>
          <w:sz w:val="28"/>
          <w:szCs w:val="28"/>
        </w:rPr>
        <w:sectPr w:rsidR="0064030B">
          <w:type w:val="continuous"/>
          <w:pgSz w:w="11906" w:h="16838"/>
          <w:pgMar w:top="1134" w:right="850" w:bottom="1134" w:left="1701" w:header="708" w:footer="708" w:gutter="0"/>
          <w:cols w:space="362"/>
          <w:docGrid w:linePitch="360"/>
        </w:sectPr>
      </w:pPr>
    </w:p>
    <w:p w:rsidR="0064030B" w:rsidRDefault="00C43449">
      <w:pPr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I. Система программных мероприятий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Мероприятия подпрограммы включает следующие направления: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физкультурно-массовая и оздоровительная работа;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сохранение и развитие инфраструктуры физической культуры и спорта;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организация пропаганды развития физической культуры и спорта.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Приоритетность данных направлений связана с тем, что намеченные мероприятия позволят осуществить формирование ценностных отношений всех групп населения района к физической культуре и спорту, обеспечить достойное выступление спортсменов района на областных и российских соревнованиях.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Предусмотренные в подпрограмме мероприятия позволят объединить усилия, средства и координировать деятельность заинтересованных структурных подразделений, организаций, предприятий и учреждений района в решении проблем физической культуры и спорта.</w:t>
      </w:r>
    </w:p>
    <w:p w:rsidR="0064030B" w:rsidRDefault="0064030B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</w:p>
    <w:p w:rsidR="0064030B" w:rsidRDefault="00C43449">
      <w:pPr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. Ресурсное обеспечение подпрограммы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подпрограммы составляет  </w:t>
      </w:r>
      <w:r w:rsidR="00B50209">
        <w:rPr>
          <w:rFonts w:cs="Times New Roman"/>
          <w:sz w:val="28"/>
          <w:szCs w:val="28"/>
        </w:rPr>
        <w:t>1</w:t>
      </w:r>
      <w:r w:rsidR="00183454">
        <w:rPr>
          <w:sz w:val="28"/>
          <w:szCs w:val="28"/>
        </w:rPr>
        <w:t>61 963 255</w:t>
      </w:r>
      <w:r w:rsidR="00B96AD4">
        <w:rPr>
          <w:rFonts w:cs="Times New Roman"/>
          <w:sz w:val="28"/>
          <w:szCs w:val="28"/>
        </w:rPr>
        <w:t xml:space="preserve"> рублей 06</w:t>
      </w:r>
      <w:r>
        <w:rPr>
          <w:rFonts w:cs="Times New Roman"/>
          <w:sz w:val="28"/>
          <w:szCs w:val="28"/>
        </w:rPr>
        <w:t xml:space="preserve"> копеек, в том числе по годам и источникам финансирования: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8"/>
        <w:gridCol w:w="2534"/>
        <w:gridCol w:w="2658"/>
        <w:gridCol w:w="2090"/>
        <w:gridCol w:w="21"/>
      </w:tblGrid>
      <w:tr w:rsidR="0064030B" w:rsidTr="00B96AD4">
        <w:tc>
          <w:tcPr>
            <w:tcW w:w="2392" w:type="dxa"/>
            <w:vMerge w:val="restart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2557" w:type="dxa"/>
            <w:vMerge w:val="restart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B96AD4">
              <w:rPr>
                <w:rFonts w:cs="Times New Roman"/>
                <w:sz w:val="28"/>
                <w:szCs w:val="28"/>
              </w:rPr>
              <w:t>сего объем финансирования, руб.коп</w:t>
            </w:r>
          </w:p>
        </w:tc>
        <w:tc>
          <w:tcPr>
            <w:tcW w:w="4645" w:type="dxa"/>
            <w:gridSpan w:val="3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том числе за счет средств</w:t>
            </w:r>
            <w:r w:rsidR="00183454">
              <w:rPr>
                <w:rFonts w:cs="Times New Roman"/>
                <w:sz w:val="28"/>
                <w:szCs w:val="28"/>
              </w:rPr>
              <w:t>, руб.коп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4030B" w:rsidTr="00B96AD4">
        <w:trPr>
          <w:gridAfter w:val="1"/>
          <w:wAfter w:w="23" w:type="dxa"/>
        </w:trPr>
        <w:tc>
          <w:tcPr>
            <w:tcW w:w="2392" w:type="dxa"/>
            <w:vMerge/>
          </w:tcPr>
          <w:p w:rsidR="0064030B" w:rsidRDefault="0064030B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:rsidR="0064030B" w:rsidRDefault="0064030B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Бюджета Аргаяшского муниципального района </w:t>
            </w:r>
          </w:p>
        </w:tc>
        <w:tc>
          <w:tcPr>
            <w:tcW w:w="1924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Внебюджетных средств </w:t>
            </w:r>
          </w:p>
        </w:tc>
      </w:tr>
      <w:tr w:rsidR="0064030B" w:rsidTr="00B96AD4">
        <w:trPr>
          <w:gridAfter w:val="1"/>
          <w:wAfter w:w="23" w:type="dxa"/>
        </w:trPr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2557" w:type="dxa"/>
          </w:tcPr>
          <w:p w:rsidR="0064030B" w:rsidRDefault="00183454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59 779 955</w:t>
            </w:r>
            <w:r w:rsidR="00B96AD4">
              <w:rPr>
                <w:rFonts w:cs="Times New Roman"/>
                <w:sz w:val="28"/>
                <w:szCs w:val="28"/>
              </w:rPr>
              <w:t>,06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8" w:type="dxa"/>
          </w:tcPr>
          <w:p w:rsidR="0064030B" w:rsidRDefault="00183454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59 779 955</w:t>
            </w:r>
            <w:r w:rsidR="00B96AD4">
              <w:rPr>
                <w:rFonts w:cs="Times New Roman"/>
                <w:sz w:val="28"/>
                <w:szCs w:val="28"/>
              </w:rPr>
              <w:t>,06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4030B" w:rsidTr="00B96AD4">
        <w:trPr>
          <w:gridAfter w:val="1"/>
          <w:wAfter w:w="23" w:type="dxa"/>
        </w:trPr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2557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50 991</w:t>
            </w:r>
            <w:r w:rsidR="00B96AD4">
              <w:rPr>
                <w:rFonts w:cs="Times New Roman"/>
                <w:sz w:val="28"/>
                <w:szCs w:val="28"/>
              </w:rPr>
              <w:t> </w:t>
            </w:r>
            <w:r>
              <w:rPr>
                <w:rFonts w:cs="Times New Roman"/>
                <w:sz w:val="28"/>
                <w:szCs w:val="28"/>
              </w:rPr>
              <w:t>600</w:t>
            </w:r>
            <w:r w:rsidR="00B96AD4">
              <w:rPr>
                <w:rFonts w:cs="Times New Roman"/>
                <w:sz w:val="28"/>
                <w:szCs w:val="28"/>
              </w:rPr>
              <w:t>,00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8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50 991</w:t>
            </w:r>
            <w:r w:rsidR="00B96AD4">
              <w:rPr>
                <w:rFonts w:cs="Times New Roman"/>
                <w:sz w:val="28"/>
                <w:szCs w:val="28"/>
              </w:rPr>
              <w:t> </w:t>
            </w:r>
            <w:r>
              <w:rPr>
                <w:rFonts w:cs="Times New Roman"/>
                <w:sz w:val="28"/>
                <w:szCs w:val="28"/>
              </w:rPr>
              <w:t>600</w:t>
            </w:r>
            <w:r w:rsidR="00B96AD4">
              <w:rPr>
                <w:rFonts w:cs="Times New Roman"/>
                <w:sz w:val="28"/>
                <w:szCs w:val="28"/>
              </w:rPr>
              <w:t>,00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4030B" w:rsidTr="00B96AD4">
        <w:trPr>
          <w:gridAfter w:val="1"/>
          <w:wAfter w:w="23" w:type="dxa"/>
        </w:trPr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2557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51 191</w:t>
            </w:r>
            <w:r w:rsidR="00B96AD4">
              <w:rPr>
                <w:rFonts w:cs="Times New Roman"/>
                <w:sz w:val="28"/>
                <w:szCs w:val="28"/>
              </w:rPr>
              <w:t> </w:t>
            </w:r>
            <w:r>
              <w:rPr>
                <w:rFonts w:cs="Times New Roman"/>
                <w:sz w:val="28"/>
                <w:szCs w:val="28"/>
              </w:rPr>
              <w:t>700</w:t>
            </w:r>
            <w:r w:rsidR="00B96AD4">
              <w:rPr>
                <w:rFonts w:cs="Times New Roman"/>
                <w:sz w:val="28"/>
                <w:szCs w:val="28"/>
              </w:rPr>
              <w:t>,00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8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51 191</w:t>
            </w:r>
            <w:r w:rsidR="00B96AD4">
              <w:rPr>
                <w:rFonts w:cs="Times New Roman"/>
                <w:sz w:val="28"/>
                <w:szCs w:val="28"/>
              </w:rPr>
              <w:t> </w:t>
            </w:r>
            <w:r>
              <w:rPr>
                <w:rFonts w:cs="Times New Roman"/>
                <w:sz w:val="28"/>
                <w:szCs w:val="28"/>
              </w:rPr>
              <w:t>700</w:t>
            </w:r>
            <w:r w:rsidR="00B96AD4">
              <w:rPr>
                <w:rFonts w:cs="Times New Roman"/>
                <w:sz w:val="28"/>
                <w:szCs w:val="28"/>
              </w:rPr>
              <w:t>,00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24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8F6B8E" w:rsidTr="00B96AD4">
        <w:trPr>
          <w:gridAfter w:val="1"/>
          <w:wAfter w:w="23" w:type="dxa"/>
        </w:trPr>
        <w:tc>
          <w:tcPr>
            <w:tcW w:w="2392" w:type="dxa"/>
          </w:tcPr>
          <w:p w:rsidR="008F6B8E" w:rsidRDefault="008F6B8E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2557" w:type="dxa"/>
          </w:tcPr>
          <w:p w:rsidR="008F6B8E" w:rsidRDefault="00183454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161 963 255</w:t>
            </w:r>
            <w:r w:rsidR="00B96AD4">
              <w:rPr>
                <w:sz w:val="28"/>
                <w:szCs w:val="28"/>
              </w:rPr>
              <w:t>,06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</w:tcPr>
          <w:p w:rsidR="008F6B8E" w:rsidRDefault="00183454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161 963 255</w:t>
            </w:r>
            <w:r w:rsidR="00B96AD4">
              <w:rPr>
                <w:sz w:val="28"/>
                <w:szCs w:val="28"/>
              </w:rPr>
              <w:t>,06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</w:tcPr>
          <w:p w:rsidR="008F6B8E" w:rsidRDefault="008F6B8E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*- объем финансирования корректируется с учетом предусмотренных бюджетных ассигнований бюджета муниципального района на текущий финансовый год;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 - привлеченные средства, внебюджетные средства, доля привлеченных средств может быть изменена.</w:t>
      </w:r>
    </w:p>
    <w:p w:rsidR="0064030B" w:rsidRDefault="00C43449">
      <w:pPr>
        <w:tabs>
          <w:tab w:val="left" w:pos="1276"/>
        </w:tabs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I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. Механизм реализации подпрограммы, организации управлении и контроль за ходом ее выполнения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Механизм реализации подпрограммы представляет собой скоординированные по срокам и направлениям действия администрации Аргаяшского муниципального района, администраций сельских поселений, общественных организаций, федераций по видам спорта, физкультурно-спортивных объединений с учетом государственных приоритетов, действующей нормативно-правовой базы. На Муниципальное учреждение Аргаяшского муниципального района «Физкультура и спорт» возлагаются организация, координация и контроль за исполнением подпрограммы. Заказчик подпрограммы с учетом выделяемых на реализацию подпрограммы финансовых средств ежегодно уточняет целевые показатели и затраты по программным мероприятиям; координирует деятельность исполнителей подпрограммы; контролирует целенаправленное и эффективное использование финансовых средств и выполнение намеченных мероприятий; ежегодно направляет в Финансовое управление Аргаяшского муниципального района обоснование бюджетных ассигнований, необходимых для реализации подпрограммы.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  <w:sectPr w:rsidR="0064030B">
          <w:type w:val="continuous"/>
          <w:pgSz w:w="11906" w:h="16838"/>
          <w:pgMar w:top="1134" w:right="850" w:bottom="1134" w:left="1701" w:header="708" w:footer="708" w:gutter="0"/>
          <w:cols w:space="1021"/>
          <w:docGrid w:linePitch="360"/>
        </w:sectPr>
      </w:pPr>
      <w:r>
        <w:rPr>
          <w:rFonts w:cs="Times New Roman"/>
          <w:sz w:val="28"/>
          <w:szCs w:val="28"/>
        </w:rPr>
        <w:t>Заказчик подпрограммы определяет  основное содержание направлений и мероприятий подпрограммы, доводит информацию о реализации подпрограммы, несет ответственность за не целевое и неэффективное использование выделенных средств, а также за несвоевре</w:t>
      </w:r>
      <w:r w:rsidR="00183454">
        <w:rPr>
          <w:rFonts w:cs="Times New Roman"/>
          <w:sz w:val="28"/>
          <w:szCs w:val="28"/>
        </w:rPr>
        <w:t>менное представление отчетности</w:t>
      </w:r>
      <w:bookmarkStart w:id="2" w:name="_GoBack"/>
      <w:bookmarkEnd w:id="2"/>
    </w:p>
    <w:p w:rsidR="0064030B" w:rsidRDefault="0064030B">
      <w:pPr>
        <w:rPr>
          <w:b/>
          <w:sz w:val="28"/>
          <w:szCs w:val="28"/>
        </w:rPr>
      </w:pPr>
    </w:p>
    <w:sectPr w:rsidR="0064030B">
      <w:type w:val="continuous"/>
      <w:pgSz w:w="16838" w:h="11906" w:orient="landscape"/>
      <w:pgMar w:top="284" w:right="1134" w:bottom="1418" w:left="1134" w:header="709" w:footer="709" w:gutter="0"/>
      <w:cols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C0" w:rsidRDefault="002A2DC0">
      <w:pPr>
        <w:spacing w:line="240" w:lineRule="auto"/>
      </w:pPr>
      <w:r>
        <w:separator/>
      </w:r>
    </w:p>
  </w:endnote>
  <w:endnote w:type="continuationSeparator" w:id="0">
    <w:p w:rsidR="002A2DC0" w:rsidRDefault="002A2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C0" w:rsidRDefault="002A2DC0">
      <w:pPr>
        <w:spacing w:after="0"/>
      </w:pPr>
      <w:r>
        <w:separator/>
      </w:r>
    </w:p>
  </w:footnote>
  <w:footnote w:type="continuationSeparator" w:id="0">
    <w:p w:rsidR="002A2DC0" w:rsidRDefault="002A2D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0B" w:rsidRDefault="0064030B">
    <w:pPr>
      <w:pStyle w:val="a5"/>
      <w:jc w:val="center"/>
    </w:pPr>
  </w:p>
  <w:p w:rsidR="0064030B" w:rsidRDefault="002A2DC0">
    <w:pPr>
      <w:pStyle w:val="a5"/>
      <w:jc w:val="center"/>
    </w:pPr>
    <w:sdt>
      <w:sdtPr>
        <w:id w:val="-84067534"/>
      </w:sdtPr>
      <w:sdtEndPr/>
      <w:sdtContent>
        <w:r w:rsidR="00C43449">
          <w:fldChar w:fldCharType="begin"/>
        </w:r>
        <w:r w:rsidR="00C43449">
          <w:instrText>PAGE   \* MERGEFORMAT</w:instrText>
        </w:r>
        <w:r w:rsidR="00C43449">
          <w:fldChar w:fldCharType="separate"/>
        </w:r>
        <w:r w:rsidR="00183454">
          <w:rPr>
            <w:noProof/>
          </w:rPr>
          <w:t>4</w:t>
        </w:r>
        <w:r w:rsidR="00C43449">
          <w:fldChar w:fldCharType="end"/>
        </w:r>
      </w:sdtContent>
    </w:sdt>
  </w:p>
  <w:p w:rsidR="0064030B" w:rsidRDefault="006403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C5"/>
    <w:rsid w:val="000066F8"/>
    <w:rsid w:val="00044A2F"/>
    <w:rsid w:val="00064087"/>
    <w:rsid w:val="00070110"/>
    <w:rsid w:val="00070734"/>
    <w:rsid w:val="000773DF"/>
    <w:rsid w:val="00085C45"/>
    <w:rsid w:val="00085ECE"/>
    <w:rsid w:val="000A512A"/>
    <w:rsid w:val="000C2138"/>
    <w:rsid w:val="000C28FA"/>
    <w:rsid w:val="000C6B5B"/>
    <w:rsid w:val="000C76BE"/>
    <w:rsid w:val="000E4177"/>
    <w:rsid w:val="000E6C04"/>
    <w:rsid w:val="000E7DB1"/>
    <w:rsid w:val="000F6343"/>
    <w:rsid w:val="00102860"/>
    <w:rsid w:val="00105055"/>
    <w:rsid w:val="001150B2"/>
    <w:rsid w:val="001250DE"/>
    <w:rsid w:val="00135FC4"/>
    <w:rsid w:val="00141AA3"/>
    <w:rsid w:val="001430C6"/>
    <w:rsid w:val="001512AE"/>
    <w:rsid w:val="00161ECD"/>
    <w:rsid w:val="00166A20"/>
    <w:rsid w:val="00183454"/>
    <w:rsid w:val="00183D91"/>
    <w:rsid w:val="001869FD"/>
    <w:rsid w:val="0019077E"/>
    <w:rsid w:val="001B3824"/>
    <w:rsid w:val="001B6CDB"/>
    <w:rsid w:val="001C4B87"/>
    <w:rsid w:val="001D0A5D"/>
    <w:rsid w:val="001D1B2E"/>
    <w:rsid w:val="001D29D0"/>
    <w:rsid w:val="001D3CC0"/>
    <w:rsid w:val="001E084B"/>
    <w:rsid w:val="001E3096"/>
    <w:rsid w:val="001F206E"/>
    <w:rsid w:val="00200151"/>
    <w:rsid w:val="00203EE1"/>
    <w:rsid w:val="002071BE"/>
    <w:rsid w:val="00221F56"/>
    <w:rsid w:val="00234AB1"/>
    <w:rsid w:val="002431BC"/>
    <w:rsid w:val="00245B35"/>
    <w:rsid w:val="00246C8A"/>
    <w:rsid w:val="00264410"/>
    <w:rsid w:val="00271880"/>
    <w:rsid w:val="00280C5C"/>
    <w:rsid w:val="00286269"/>
    <w:rsid w:val="0028703F"/>
    <w:rsid w:val="00294804"/>
    <w:rsid w:val="00294846"/>
    <w:rsid w:val="00295E37"/>
    <w:rsid w:val="002A11F2"/>
    <w:rsid w:val="002A28C6"/>
    <w:rsid w:val="002A2DC0"/>
    <w:rsid w:val="002B0F45"/>
    <w:rsid w:val="002B534D"/>
    <w:rsid w:val="002D0945"/>
    <w:rsid w:val="002D4E49"/>
    <w:rsid w:val="002E7C90"/>
    <w:rsid w:val="002F23DD"/>
    <w:rsid w:val="002F3CD8"/>
    <w:rsid w:val="002F3F92"/>
    <w:rsid w:val="002F4071"/>
    <w:rsid w:val="00304B26"/>
    <w:rsid w:val="00307198"/>
    <w:rsid w:val="00314673"/>
    <w:rsid w:val="00316387"/>
    <w:rsid w:val="0032145F"/>
    <w:rsid w:val="003216DE"/>
    <w:rsid w:val="00321F59"/>
    <w:rsid w:val="00333B9D"/>
    <w:rsid w:val="00334842"/>
    <w:rsid w:val="0033517E"/>
    <w:rsid w:val="003476D0"/>
    <w:rsid w:val="00353CCF"/>
    <w:rsid w:val="00367CF6"/>
    <w:rsid w:val="00373B86"/>
    <w:rsid w:val="003825A7"/>
    <w:rsid w:val="00387ACD"/>
    <w:rsid w:val="00395FDD"/>
    <w:rsid w:val="003964F7"/>
    <w:rsid w:val="003B0896"/>
    <w:rsid w:val="003B3A32"/>
    <w:rsid w:val="003B3EE3"/>
    <w:rsid w:val="003B7A86"/>
    <w:rsid w:val="003C1242"/>
    <w:rsid w:val="003C42CE"/>
    <w:rsid w:val="003C743A"/>
    <w:rsid w:val="003D279D"/>
    <w:rsid w:val="003D7072"/>
    <w:rsid w:val="003E4272"/>
    <w:rsid w:val="003E5168"/>
    <w:rsid w:val="003E6F90"/>
    <w:rsid w:val="003F0307"/>
    <w:rsid w:val="003F38FC"/>
    <w:rsid w:val="00400D42"/>
    <w:rsid w:val="00421AB2"/>
    <w:rsid w:val="00424AD1"/>
    <w:rsid w:val="00426817"/>
    <w:rsid w:val="00440910"/>
    <w:rsid w:val="00444517"/>
    <w:rsid w:val="00451CEB"/>
    <w:rsid w:val="0045258C"/>
    <w:rsid w:val="00455715"/>
    <w:rsid w:val="00462485"/>
    <w:rsid w:val="004642DD"/>
    <w:rsid w:val="00471709"/>
    <w:rsid w:val="00481EAF"/>
    <w:rsid w:val="00486103"/>
    <w:rsid w:val="00496E91"/>
    <w:rsid w:val="004A2B56"/>
    <w:rsid w:val="004B04C5"/>
    <w:rsid w:val="004D411B"/>
    <w:rsid w:val="005149ED"/>
    <w:rsid w:val="005172E5"/>
    <w:rsid w:val="00520A77"/>
    <w:rsid w:val="00523D30"/>
    <w:rsid w:val="00532A6D"/>
    <w:rsid w:val="005420C5"/>
    <w:rsid w:val="00543269"/>
    <w:rsid w:val="0054721F"/>
    <w:rsid w:val="0055420D"/>
    <w:rsid w:val="0056581C"/>
    <w:rsid w:val="00566147"/>
    <w:rsid w:val="00582E95"/>
    <w:rsid w:val="005876DD"/>
    <w:rsid w:val="00592CDD"/>
    <w:rsid w:val="0059541F"/>
    <w:rsid w:val="005A0725"/>
    <w:rsid w:val="005B0BD0"/>
    <w:rsid w:val="005E50FE"/>
    <w:rsid w:val="005F4497"/>
    <w:rsid w:val="00601877"/>
    <w:rsid w:val="00626ABF"/>
    <w:rsid w:val="00632333"/>
    <w:rsid w:val="00633975"/>
    <w:rsid w:val="0064030B"/>
    <w:rsid w:val="00641AD4"/>
    <w:rsid w:val="00641E34"/>
    <w:rsid w:val="00652C6A"/>
    <w:rsid w:val="0066004B"/>
    <w:rsid w:val="00662468"/>
    <w:rsid w:val="0066313C"/>
    <w:rsid w:val="00672322"/>
    <w:rsid w:val="00675975"/>
    <w:rsid w:val="006850C1"/>
    <w:rsid w:val="0068633C"/>
    <w:rsid w:val="006A3756"/>
    <w:rsid w:val="006B59F2"/>
    <w:rsid w:val="006C4964"/>
    <w:rsid w:val="006D37A2"/>
    <w:rsid w:val="006E1A07"/>
    <w:rsid w:val="006E24C2"/>
    <w:rsid w:val="007047C3"/>
    <w:rsid w:val="007100F3"/>
    <w:rsid w:val="00711DFE"/>
    <w:rsid w:val="00717A95"/>
    <w:rsid w:val="007276CA"/>
    <w:rsid w:val="00730856"/>
    <w:rsid w:val="00737612"/>
    <w:rsid w:val="007432C7"/>
    <w:rsid w:val="007502F8"/>
    <w:rsid w:val="007556C1"/>
    <w:rsid w:val="00755A14"/>
    <w:rsid w:val="00771280"/>
    <w:rsid w:val="007713AD"/>
    <w:rsid w:val="007742E3"/>
    <w:rsid w:val="0078255F"/>
    <w:rsid w:val="007909BE"/>
    <w:rsid w:val="007B4E00"/>
    <w:rsid w:val="007C5AEF"/>
    <w:rsid w:val="007C785F"/>
    <w:rsid w:val="007E3F05"/>
    <w:rsid w:val="0081540C"/>
    <w:rsid w:val="00833BB7"/>
    <w:rsid w:val="008A012F"/>
    <w:rsid w:val="008A637E"/>
    <w:rsid w:val="008D0D85"/>
    <w:rsid w:val="008D5105"/>
    <w:rsid w:val="008D5CAD"/>
    <w:rsid w:val="008F1EFE"/>
    <w:rsid w:val="008F550C"/>
    <w:rsid w:val="008F6B8E"/>
    <w:rsid w:val="00907A57"/>
    <w:rsid w:val="00910AE6"/>
    <w:rsid w:val="00917605"/>
    <w:rsid w:val="0092692C"/>
    <w:rsid w:val="009270F9"/>
    <w:rsid w:val="00930C1B"/>
    <w:rsid w:val="009335AF"/>
    <w:rsid w:val="00950373"/>
    <w:rsid w:val="0096547F"/>
    <w:rsid w:val="00965AC3"/>
    <w:rsid w:val="0097263C"/>
    <w:rsid w:val="00974854"/>
    <w:rsid w:val="0098099C"/>
    <w:rsid w:val="009813D5"/>
    <w:rsid w:val="00992319"/>
    <w:rsid w:val="00994B6E"/>
    <w:rsid w:val="009A2C7C"/>
    <w:rsid w:val="009A2DF4"/>
    <w:rsid w:val="009A39FE"/>
    <w:rsid w:val="009A671B"/>
    <w:rsid w:val="009C4BBC"/>
    <w:rsid w:val="009C7832"/>
    <w:rsid w:val="009D58F7"/>
    <w:rsid w:val="009E02AA"/>
    <w:rsid w:val="009E46D7"/>
    <w:rsid w:val="009F445B"/>
    <w:rsid w:val="00A001A7"/>
    <w:rsid w:val="00A02D28"/>
    <w:rsid w:val="00A21612"/>
    <w:rsid w:val="00A21698"/>
    <w:rsid w:val="00A26019"/>
    <w:rsid w:val="00A332C5"/>
    <w:rsid w:val="00A426F8"/>
    <w:rsid w:val="00A42E75"/>
    <w:rsid w:val="00A45324"/>
    <w:rsid w:val="00A51E88"/>
    <w:rsid w:val="00A64192"/>
    <w:rsid w:val="00A82FE2"/>
    <w:rsid w:val="00A830FB"/>
    <w:rsid w:val="00AA0A34"/>
    <w:rsid w:val="00AA70D5"/>
    <w:rsid w:val="00AB1DEB"/>
    <w:rsid w:val="00AC005F"/>
    <w:rsid w:val="00AC29D9"/>
    <w:rsid w:val="00AC2DA8"/>
    <w:rsid w:val="00AC6257"/>
    <w:rsid w:val="00AE1965"/>
    <w:rsid w:val="00AE3A28"/>
    <w:rsid w:val="00AF205D"/>
    <w:rsid w:val="00AF63E0"/>
    <w:rsid w:val="00B000D1"/>
    <w:rsid w:val="00B042DA"/>
    <w:rsid w:val="00B07A4F"/>
    <w:rsid w:val="00B31475"/>
    <w:rsid w:val="00B50209"/>
    <w:rsid w:val="00B51AA1"/>
    <w:rsid w:val="00B56C76"/>
    <w:rsid w:val="00B7198B"/>
    <w:rsid w:val="00B85A17"/>
    <w:rsid w:val="00B943FE"/>
    <w:rsid w:val="00B96AD4"/>
    <w:rsid w:val="00BA43FA"/>
    <w:rsid w:val="00BC1301"/>
    <w:rsid w:val="00BC535F"/>
    <w:rsid w:val="00BE7AE3"/>
    <w:rsid w:val="00BF0148"/>
    <w:rsid w:val="00C15474"/>
    <w:rsid w:val="00C16ABC"/>
    <w:rsid w:val="00C22491"/>
    <w:rsid w:val="00C37817"/>
    <w:rsid w:val="00C41016"/>
    <w:rsid w:val="00C42212"/>
    <w:rsid w:val="00C43449"/>
    <w:rsid w:val="00C471AA"/>
    <w:rsid w:val="00C6195C"/>
    <w:rsid w:val="00C63016"/>
    <w:rsid w:val="00C64EE2"/>
    <w:rsid w:val="00C80005"/>
    <w:rsid w:val="00C81949"/>
    <w:rsid w:val="00C836FC"/>
    <w:rsid w:val="00C9359D"/>
    <w:rsid w:val="00CB0FA2"/>
    <w:rsid w:val="00CC59D9"/>
    <w:rsid w:val="00CC6A86"/>
    <w:rsid w:val="00CE431F"/>
    <w:rsid w:val="00CE66FA"/>
    <w:rsid w:val="00D05C8D"/>
    <w:rsid w:val="00D13A5B"/>
    <w:rsid w:val="00D3124A"/>
    <w:rsid w:val="00D414E3"/>
    <w:rsid w:val="00D51C38"/>
    <w:rsid w:val="00D53105"/>
    <w:rsid w:val="00D61BD3"/>
    <w:rsid w:val="00D76120"/>
    <w:rsid w:val="00D81DF7"/>
    <w:rsid w:val="00D962CB"/>
    <w:rsid w:val="00D96A08"/>
    <w:rsid w:val="00DA7023"/>
    <w:rsid w:val="00DB1A97"/>
    <w:rsid w:val="00DB3E3F"/>
    <w:rsid w:val="00DC0298"/>
    <w:rsid w:val="00DC5FFA"/>
    <w:rsid w:val="00DE2D47"/>
    <w:rsid w:val="00DE7FE7"/>
    <w:rsid w:val="00E005B7"/>
    <w:rsid w:val="00E110F9"/>
    <w:rsid w:val="00E143D6"/>
    <w:rsid w:val="00E2215D"/>
    <w:rsid w:val="00E304B5"/>
    <w:rsid w:val="00E350A3"/>
    <w:rsid w:val="00E354D7"/>
    <w:rsid w:val="00E35C7C"/>
    <w:rsid w:val="00E40942"/>
    <w:rsid w:val="00E51EDB"/>
    <w:rsid w:val="00E752E6"/>
    <w:rsid w:val="00E774D5"/>
    <w:rsid w:val="00E81811"/>
    <w:rsid w:val="00E94A82"/>
    <w:rsid w:val="00E96CE1"/>
    <w:rsid w:val="00EB464E"/>
    <w:rsid w:val="00EC3A47"/>
    <w:rsid w:val="00ED613E"/>
    <w:rsid w:val="00EF1B93"/>
    <w:rsid w:val="00EF4296"/>
    <w:rsid w:val="00F00263"/>
    <w:rsid w:val="00F23917"/>
    <w:rsid w:val="00F277D5"/>
    <w:rsid w:val="00F318F9"/>
    <w:rsid w:val="00F8610C"/>
    <w:rsid w:val="00FB3B97"/>
    <w:rsid w:val="00FC76D8"/>
    <w:rsid w:val="00FD21C7"/>
    <w:rsid w:val="00FD2489"/>
    <w:rsid w:val="00FE152C"/>
    <w:rsid w:val="00FE4481"/>
    <w:rsid w:val="00FF16A6"/>
    <w:rsid w:val="00FF33DC"/>
    <w:rsid w:val="1C055133"/>
    <w:rsid w:val="61E9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B2440"/>
  <w15:docId w15:val="{638B1F5B-59E8-4060-B536-4D7D4B3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9"/>
    <w:qFormat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a"/>
    <w:qFormat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12pt">
    <w:name w:val="Основной текст + 12 pt"/>
    <w:basedOn w:val="aa"/>
    <w:qFormat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a"/>
    <w:qFormat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Заголовок №3_"/>
    <w:basedOn w:val="a0"/>
    <w:qFormat/>
    <w:rPr>
      <w:rFonts w:ascii="Times New Roman" w:eastAsia="Times New Roman" w:hAnsi="Times New Roman" w:cs="Times New Roman"/>
      <w:b/>
      <w:bCs/>
      <w:sz w:val="39"/>
      <w:szCs w:val="39"/>
      <w:u w:val="none"/>
    </w:rPr>
  </w:style>
  <w:style w:type="character" w:customStyle="1" w:styleId="30">
    <w:name w:val="Заголовок №3"/>
    <w:basedOn w:val="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qFormat/>
    <w:rPr>
      <w:rFonts w:ascii="Times New Roman" w:eastAsia="Times New Roman" w:hAnsi="Times New Roman" w:cs="Times New Roman"/>
      <w:b/>
      <w:bCs/>
      <w:sz w:val="34"/>
      <w:szCs w:val="34"/>
      <w:u w:val="none"/>
    </w:rPr>
  </w:style>
  <w:style w:type="character" w:customStyle="1" w:styleId="530">
    <w:name w:val="Заголовок №5 (3)"/>
    <w:basedOn w:val="5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/>
      <w:bCs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qFormat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a"/>
    <w:qFormat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a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1CFD-9BC9-4845-8F40-3B163E96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User</cp:lastModifiedBy>
  <cp:revision>71</cp:revision>
  <cp:lastPrinted>2026-01-12T06:42:00Z</cp:lastPrinted>
  <dcterms:created xsi:type="dcterms:W3CDTF">2019-04-04T05:17:00Z</dcterms:created>
  <dcterms:modified xsi:type="dcterms:W3CDTF">2026-01-13T03:45:00Z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9C9525ECB45749FB9EB595C1ADF7A20F_13</vt:lpwstr>
  </property>
</Properties>
</file>