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82" w:rsidRPr="00A933D0" w:rsidRDefault="001B54DA" w:rsidP="001E68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54DA"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2pt;height:97.65pt;visibility:visible">
            <v:imagedata r:id="rId8" o:title="" blacklevel="1966f"/>
          </v:shape>
        </w:pict>
      </w:r>
    </w:p>
    <w:p w:rsidR="00FC71A3" w:rsidRPr="00A933D0" w:rsidRDefault="00FC71A3" w:rsidP="001E6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АРГАЯШСКОГО МУНИЦИПАЛЬНОГО РАЙОНА</w:t>
      </w:r>
    </w:p>
    <w:p w:rsidR="00FC71A3" w:rsidRDefault="00FC71A3" w:rsidP="001E685F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3D0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242DCB" w:rsidRPr="00A933D0" w:rsidRDefault="00242DCB" w:rsidP="001E685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71A3" w:rsidRPr="00A933D0" w:rsidRDefault="00FC71A3" w:rsidP="001E685F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33D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C71A3" w:rsidRPr="00A933D0" w:rsidRDefault="001B54DA" w:rsidP="00BB4D24">
      <w:pPr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54DA">
        <w:rPr>
          <w:noProof/>
        </w:rPr>
        <w:pict>
          <v:line id="_x0000_s1026" style="position:absolute;left:0;text-align:left;z-index:1" from="-18.7pt,19.5pt" to="495.55pt,19.5pt" o:allowincell="f" strokeweight="4.5pt">
            <v:stroke linestyle="thickThin"/>
          </v:line>
        </w:pict>
      </w:r>
    </w:p>
    <w:p w:rsidR="00FC71A3" w:rsidRPr="00A933D0" w:rsidRDefault="00FC71A3" w:rsidP="00BB4D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71A3" w:rsidRPr="00A960AF" w:rsidRDefault="00FC71A3" w:rsidP="001E685F">
      <w:pPr>
        <w:rPr>
          <w:rFonts w:ascii="Times New Roman" w:hAnsi="Times New Roman" w:cs="Times New Roman"/>
          <w:sz w:val="28"/>
          <w:szCs w:val="28"/>
        </w:rPr>
      </w:pPr>
      <w:r w:rsidRPr="00A960A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A960AF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960A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960AF">
        <w:rPr>
          <w:rFonts w:ascii="Times New Roman" w:hAnsi="Times New Roman" w:cs="Times New Roman"/>
          <w:sz w:val="28"/>
          <w:szCs w:val="28"/>
        </w:rPr>
        <w:t xml:space="preserve"> г. </w:t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 w:rsidRPr="00A960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___________</w:t>
      </w:r>
    </w:p>
    <w:p w:rsidR="00FC71A3" w:rsidRPr="00A933D0" w:rsidRDefault="00242DCB" w:rsidP="00BB4D24">
      <w:pPr>
        <w:ind w:right="-365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71A3" w:rsidRPr="00D679EE" w:rsidRDefault="00FC71A3" w:rsidP="00D679EE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Об утверждении</w:t>
      </w:r>
      <w:r w:rsidRPr="00D679EE">
        <w:rPr>
          <w:rFonts w:ascii="Times New Roman" w:hAnsi="Times New Roman" w:cs="Times New Roman"/>
          <w:color w:val="181818"/>
        </w:rPr>
        <w:t xml:space="preserve">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программы профилактики </w:t>
      </w:r>
    </w:p>
    <w:p w:rsidR="00FC71A3" w:rsidRPr="00D679EE" w:rsidRDefault="00FC71A3" w:rsidP="00D679EE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нарушений обязательных требований в сфере </w:t>
      </w:r>
    </w:p>
    <w:p w:rsidR="00FC71A3" w:rsidRPr="00D679EE" w:rsidRDefault="00FC71A3" w:rsidP="00D679EE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муниципального жилищного контроля в 202</w:t>
      </w:r>
      <w:r w:rsidR="00160785">
        <w:rPr>
          <w:rFonts w:ascii="Times New Roman" w:hAnsi="Times New Roman" w:cs="Times New Roman"/>
          <w:color w:val="181818"/>
          <w:sz w:val="28"/>
          <w:szCs w:val="28"/>
        </w:rPr>
        <w:t>6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 году</w:t>
      </w:r>
    </w:p>
    <w:p w:rsidR="00FC71A3" w:rsidRPr="00D77F4F" w:rsidRDefault="00FC71A3" w:rsidP="00BB4D24">
      <w:pPr>
        <w:ind w:right="538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Pr="00D12014" w:rsidRDefault="00FC71A3" w:rsidP="00BB4D24">
      <w:pPr>
        <w:pStyle w:val="a6"/>
        <w:shd w:val="clear" w:color="auto" w:fill="auto"/>
        <w:tabs>
          <w:tab w:val="left" w:pos="224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12014">
        <w:rPr>
          <w:sz w:val="28"/>
          <w:szCs w:val="28"/>
        </w:rPr>
        <w:t xml:space="preserve"> соответствии со статьей 16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 требованиями </w:t>
      </w:r>
      <w:r w:rsidRPr="00D12014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44</w:t>
      </w:r>
      <w:r w:rsidRPr="00D12014">
        <w:rPr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руководствуясь Уставом</w:t>
      </w:r>
      <w:r>
        <w:rPr>
          <w:sz w:val="28"/>
          <w:szCs w:val="28"/>
        </w:rPr>
        <w:t xml:space="preserve"> Аргаяшского муниципального района</w:t>
      </w:r>
      <w:r w:rsidRPr="00D12014">
        <w:rPr>
          <w:sz w:val="28"/>
          <w:szCs w:val="28"/>
        </w:rPr>
        <w:t>,</w:t>
      </w:r>
    </w:p>
    <w:p w:rsidR="00FC71A3" w:rsidRPr="00062E37" w:rsidRDefault="00FC71A3" w:rsidP="00BB4D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Pr="00D77F4F" w:rsidRDefault="00FC71A3" w:rsidP="003933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района ПОСТАНОВЛЯЕТ</w:t>
      </w:r>
      <w:r w:rsidRPr="00D77F4F">
        <w:rPr>
          <w:rFonts w:ascii="Times New Roman" w:hAnsi="Times New Roman" w:cs="Times New Roman"/>
          <w:sz w:val="28"/>
          <w:szCs w:val="28"/>
        </w:rPr>
        <w:t>:</w:t>
      </w:r>
    </w:p>
    <w:p w:rsidR="00FC71A3" w:rsidRPr="00D77F4F" w:rsidRDefault="00FC71A3" w:rsidP="003933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71A3" w:rsidRPr="008C4B3E" w:rsidRDefault="00FC71A3" w:rsidP="00393399">
      <w:pPr>
        <w:pStyle w:val="11"/>
        <w:ind w:left="0" w:firstLine="709"/>
        <w:jc w:val="both"/>
        <w:rPr>
          <w:rFonts w:cs="Arial Unicode MS"/>
          <w:color w:val="181818"/>
          <w:sz w:val="28"/>
          <w:szCs w:val="28"/>
        </w:rPr>
      </w:pPr>
      <w:r w:rsidRPr="00062E89">
        <w:rPr>
          <w:sz w:val="28"/>
          <w:szCs w:val="28"/>
        </w:rPr>
        <w:t>1. Утвердить</w:t>
      </w:r>
      <w:r w:rsidRPr="00D679EE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</w:t>
      </w:r>
      <w:r w:rsidRPr="008C4B3E">
        <w:rPr>
          <w:color w:val="181818"/>
          <w:sz w:val="28"/>
          <w:szCs w:val="28"/>
        </w:rPr>
        <w:t>рограмму профилактики нарушений обязательных требований в сфере муниципального жилищного контроля в 202</w:t>
      </w:r>
      <w:r w:rsidR="00160785">
        <w:rPr>
          <w:color w:val="181818"/>
          <w:sz w:val="28"/>
          <w:szCs w:val="28"/>
        </w:rPr>
        <w:t>6</w:t>
      </w:r>
      <w:r w:rsidRPr="008C4B3E">
        <w:rPr>
          <w:color w:val="181818"/>
          <w:sz w:val="28"/>
          <w:szCs w:val="28"/>
        </w:rPr>
        <w:t xml:space="preserve"> году</w:t>
      </w:r>
      <w:r w:rsidR="00D84DA0">
        <w:rPr>
          <w:color w:val="181818"/>
          <w:sz w:val="28"/>
          <w:szCs w:val="28"/>
        </w:rPr>
        <w:t>.</w:t>
      </w:r>
    </w:p>
    <w:p w:rsidR="00FC71A3" w:rsidRPr="00062E89" w:rsidRDefault="00FC71A3" w:rsidP="00393399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  <w:sz w:val="28"/>
          <w:szCs w:val="28"/>
        </w:rPr>
      </w:pPr>
      <w:r w:rsidRPr="00062E89">
        <w:rPr>
          <w:sz w:val="28"/>
          <w:szCs w:val="28"/>
        </w:rPr>
        <w:t xml:space="preserve">2. </w:t>
      </w:r>
      <w:r w:rsidR="0052728E">
        <w:rPr>
          <w:rFonts w:cs="Arial Unicode MS"/>
          <w:sz w:val="28"/>
          <w:szCs w:val="28"/>
        </w:rPr>
        <w:t>Настоящее постановление опубликовать в средствах массовой информации.</w:t>
      </w:r>
    </w:p>
    <w:p w:rsidR="00FC71A3" w:rsidRDefault="00BC197A" w:rsidP="00393399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71A3" w:rsidRPr="00186C9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FC71A3">
        <w:rPr>
          <w:rFonts w:ascii="Times New Roman" w:hAnsi="Times New Roman" w:cs="Times New Roman"/>
          <w:sz w:val="28"/>
          <w:szCs w:val="28"/>
        </w:rPr>
        <w:t>з</w:t>
      </w:r>
      <w:r w:rsidR="00FC71A3" w:rsidRPr="00186C99">
        <w:rPr>
          <w:rFonts w:ascii="Times New Roman" w:hAnsi="Times New Roman" w:cs="Times New Roman"/>
          <w:sz w:val="28"/>
          <w:szCs w:val="28"/>
        </w:rPr>
        <w:t>аместител</w:t>
      </w:r>
      <w:r w:rsidR="00FC71A3">
        <w:rPr>
          <w:rFonts w:ascii="Times New Roman" w:hAnsi="Times New Roman" w:cs="Times New Roman"/>
          <w:sz w:val="28"/>
          <w:szCs w:val="28"/>
        </w:rPr>
        <w:t>я</w:t>
      </w:r>
      <w:r w:rsidR="00FC71A3" w:rsidRPr="00186C99">
        <w:rPr>
          <w:rFonts w:ascii="Times New Roman" w:hAnsi="Times New Roman" w:cs="Times New Roman"/>
          <w:sz w:val="28"/>
          <w:szCs w:val="28"/>
        </w:rPr>
        <w:t xml:space="preserve"> главы муниципальн</w:t>
      </w:r>
      <w:r w:rsidR="00160785">
        <w:rPr>
          <w:rFonts w:ascii="Times New Roman" w:hAnsi="Times New Roman" w:cs="Times New Roman"/>
          <w:sz w:val="28"/>
          <w:szCs w:val="28"/>
        </w:rPr>
        <w:t>ого района Л.А.Афанасьеву</w:t>
      </w:r>
    </w:p>
    <w:p w:rsidR="00FC71A3" w:rsidRDefault="00FC71A3" w:rsidP="00393399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77F4F">
        <w:rPr>
          <w:rFonts w:ascii="Times New Roman" w:hAnsi="Times New Roman" w:cs="Times New Roman"/>
          <w:sz w:val="28"/>
          <w:szCs w:val="28"/>
        </w:rPr>
        <w:t>Аргаяшского</w:t>
      </w:r>
    </w:p>
    <w:p w:rsidR="00FC71A3" w:rsidRDefault="00FC71A3" w:rsidP="00186C99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F4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4DA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И.В.Ишимов</w:t>
      </w: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010" w:rsidRDefault="003E2010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010" w:rsidRDefault="003E2010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785" w:rsidRDefault="00160785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785" w:rsidRDefault="00160785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785" w:rsidRDefault="00160785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DA0" w:rsidRDefault="00D84DA0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BF3" w:rsidRDefault="005C7BF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5C7BF3" w:rsidRDefault="005C7BF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FC71A3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5C7BF3" w:rsidRDefault="00FC71A3" w:rsidP="005C7BF3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5C7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FC71A3" w:rsidRDefault="00FC71A3" w:rsidP="00905E0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7BF3">
        <w:rPr>
          <w:rFonts w:ascii="Times New Roman" w:hAnsi="Times New Roman" w:cs="Times New Roman"/>
          <w:sz w:val="28"/>
          <w:szCs w:val="28"/>
        </w:rPr>
        <w:t xml:space="preserve">       Л.А. Афанасьева</w:t>
      </w: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7B313E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4D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7BF3">
        <w:rPr>
          <w:rFonts w:ascii="Times New Roman" w:hAnsi="Times New Roman" w:cs="Times New Roman"/>
          <w:sz w:val="28"/>
          <w:szCs w:val="28"/>
        </w:rPr>
        <w:t>Л.И.Салихова</w:t>
      </w:r>
    </w:p>
    <w:p w:rsidR="00DA1B68" w:rsidRDefault="00DA1B68" w:rsidP="007B313E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DA1B68" w:rsidP="00DA1B68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                                                                Э.Д. Иксанова</w:t>
      </w: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Default="00FC71A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BF3" w:rsidRDefault="005C7BF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BF3" w:rsidRDefault="005C7BF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BF3" w:rsidRDefault="005C7BF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719" w:rsidRDefault="00C82719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BF3" w:rsidRDefault="005C7BF3" w:rsidP="00BB4D24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B68" w:rsidRDefault="00BC197A" w:rsidP="00DA1B68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BC197A">
        <w:rPr>
          <w:rFonts w:ascii="Times New Roman" w:hAnsi="Times New Roman" w:cs="Times New Roman"/>
        </w:rPr>
        <w:t>Курбанова Диляфруз Янаховна</w:t>
      </w:r>
    </w:p>
    <w:p w:rsidR="00DA1B68" w:rsidRDefault="00DA1B68" w:rsidP="00DA1B68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564FD1" w:rsidRPr="00564FD1" w:rsidRDefault="00564FD1" w:rsidP="00DA1B68">
      <w:pPr>
        <w:tabs>
          <w:tab w:val="left" w:pos="0"/>
        </w:tabs>
        <w:jc w:val="right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564FD1">
        <w:rPr>
          <w:rFonts w:ascii="Times New Roman" w:hAnsi="Times New Roman" w:cs="Times New Roman"/>
          <w:b/>
          <w:color w:val="181818"/>
          <w:sz w:val="28"/>
          <w:szCs w:val="28"/>
        </w:rPr>
        <w:t>ПРОЕКТ</w:t>
      </w:r>
    </w:p>
    <w:p w:rsidR="00564FD1" w:rsidRDefault="00564FD1" w:rsidP="00DA1B68">
      <w:pPr>
        <w:tabs>
          <w:tab w:val="left" w:pos="0"/>
        </w:tabs>
        <w:jc w:val="right"/>
        <w:rPr>
          <w:rFonts w:ascii="Times New Roman" w:hAnsi="Times New Roman" w:cs="Times New Roman"/>
          <w:color w:val="181818"/>
          <w:sz w:val="28"/>
          <w:szCs w:val="28"/>
        </w:rPr>
      </w:pPr>
    </w:p>
    <w:p w:rsidR="00DA1B68" w:rsidRDefault="00DA1B68" w:rsidP="00DA1B68">
      <w:pPr>
        <w:tabs>
          <w:tab w:val="left" w:pos="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Утверждена</w:t>
      </w:r>
      <w:r>
        <w:rPr>
          <w:rFonts w:ascii="Times New Roman" w:hAnsi="Times New Roman" w:cs="Times New Roman"/>
        </w:rPr>
        <w:t xml:space="preserve"> </w:t>
      </w:r>
    </w:p>
    <w:p w:rsidR="00DA1B68" w:rsidRPr="00DA1B68" w:rsidRDefault="00DA1B68" w:rsidP="00DA1B68">
      <w:pPr>
        <w:tabs>
          <w:tab w:val="left" w:pos="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постановлением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администрации </w:t>
      </w:r>
    </w:p>
    <w:p w:rsidR="00DA1B68" w:rsidRDefault="00DA1B68" w:rsidP="00D679EE">
      <w:pPr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Аргаяшского муниципального района</w:t>
      </w:r>
    </w:p>
    <w:p w:rsidR="00DA1B68" w:rsidRDefault="00DA1B68" w:rsidP="00D679EE">
      <w:pPr>
        <w:jc w:val="right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от «___»_________</w:t>
      </w:r>
    </w:p>
    <w:p w:rsidR="0004540E" w:rsidRPr="00393399" w:rsidRDefault="0004540E" w:rsidP="00D679EE">
      <w:pPr>
        <w:pStyle w:val="Style2"/>
        <w:widowControl/>
        <w:spacing w:line="240" w:lineRule="exact"/>
        <w:jc w:val="right"/>
        <w:rPr>
          <w:rFonts w:cs="Arial Unicode MS"/>
          <w:color w:val="181818"/>
          <w:sz w:val="28"/>
          <w:szCs w:val="28"/>
        </w:rPr>
      </w:pPr>
    </w:p>
    <w:p w:rsidR="00FC71A3" w:rsidRPr="00393399" w:rsidRDefault="00FC71A3" w:rsidP="00D84DA0">
      <w:pPr>
        <w:pStyle w:val="Default"/>
        <w:jc w:val="center"/>
        <w:rPr>
          <w:rFonts w:ascii="Times New Roman" w:hAnsi="Times New Roman" w:cs="Times New Roman"/>
          <w:color w:val="181818"/>
        </w:rPr>
      </w:pPr>
      <w:bookmarkStart w:id="0" w:name="_GoBack"/>
      <w:bookmarkEnd w:id="0"/>
      <w:r w:rsidRPr="00393399">
        <w:rPr>
          <w:rFonts w:ascii="Times New Roman" w:hAnsi="Times New Roman" w:cs="Times New Roman"/>
          <w:bCs/>
          <w:color w:val="181818"/>
        </w:rPr>
        <w:t>ПРОГРАММА</w:t>
      </w:r>
    </w:p>
    <w:p w:rsidR="00FC71A3" w:rsidRPr="008C4B3E" w:rsidRDefault="00FC71A3" w:rsidP="00D84DA0">
      <w:pPr>
        <w:pStyle w:val="Default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>профилактики рисков причинения вреда (ущерба)</w:t>
      </w:r>
    </w:p>
    <w:p w:rsidR="00FC71A3" w:rsidRPr="008C4B3E" w:rsidRDefault="00FC71A3" w:rsidP="00D84DA0">
      <w:pPr>
        <w:pStyle w:val="Default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>охраняемым законом ценностям</w:t>
      </w:r>
    </w:p>
    <w:p w:rsidR="00FC71A3" w:rsidRPr="008C4B3E" w:rsidRDefault="00FC71A3" w:rsidP="00D84DA0">
      <w:pPr>
        <w:pStyle w:val="Default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8C4B3E">
        <w:rPr>
          <w:rFonts w:ascii="Times New Roman" w:hAnsi="Times New Roman" w:cs="Times New Roman"/>
          <w:color w:val="181818"/>
          <w:sz w:val="28"/>
          <w:szCs w:val="28"/>
        </w:rPr>
        <w:t>при осуществлении муниципального жилищного контроля на 202</w:t>
      </w:r>
      <w:r w:rsidR="00160785">
        <w:rPr>
          <w:rFonts w:ascii="Times New Roman" w:hAnsi="Times New Roman" w:cs="Times New Roman"/>
          <w:color w:val="181818"/>
          <w:sz w:val="28"/>
          <w:szCs w:val="28"/>
        </w:rPr>
        <w:t>6</w:t>
      </w:r>
      <w:r w:rsidRPr="008C4B3E">
        <w:rPr>
          <w:rFonts w:ascii="Times New Roman" w:hAnsi="Times New Roman" w:cs="Times New Roman"/>
          <w:color w:val="181818"/>
          <w:sz w:val="28"/>
          <w:szCs w:val="28"/>
        </w:rPr>
        <w:t xml:space="preserve"> год</w:t>
      </w:r>
    </w:p>
    <w:p w:rsidR="0059410C" w:rsidRDefault="0059410C" w:rsidP="0059410C">
      <w:pPr>
        <w:spacing w:before="14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FC71A3" w:rsidRPr="00D679EE" w:rsidRDefault="00FC71A3" w:rsidP="0059410C">
      <w:pPr>
        <w:spacing w:before="14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Паспор</w:t>
      </w:r>
      <w:r w:rsidRPr="00D679EE">
        <w:rPr>
          <w:rFonts w:ascii="Times New Roman" w:hAnsi="Times New Roman" w:cs="Times New Roman"/>
          <w:color w:val="181818"/>
          <w:spacing w:val="90"/>
          <w:sz w:val="28"/>
          <w:szCs w:val="28"/>
        </w:rPr>
        <w:t>т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программы</w:t>
      </w:r>
    </w:p>
    <w:p w:rsidR="00FC71A3" w:rsidRPr="00D679EE" w:rsidRDefault="00FC71A3" w:rsidP="00D679EE">
      <w:pPr>
        <w:spacing w:before="14"/>
        <w:ind w:left="1180" w:firstLine="1829"/>
        <w:rPr>
          <w:rFonts w:ascii="Times New Roman" w:hAnsi="Times New Roman" w:cs="Times New Roman"/>
          <w:color w:val="18181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7337"/>
      </w:tblGrid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Наименование программы</w:t>
            </w:r>
          </w:p>
        </w:tc>
        <w:tc>
          <w:tcPr>
            <w:tcW w:w="7337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</w:t>
            </w:r>
          </w:p>
        </w:tc>
      </w:tr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Правовые основания разработки программы</w:t>
            </w:r>
          </w:p>
        </w:tc>
        <w:tc>
          <w:tcPr>
            <w:tcW w:w="7337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Федеральный зако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н</w:t>
            </w:r>
            <w:r w:rsidRPr="00D679EE">
              <w:rPr>
                <w:rFonts w:ascii="Times New Roman" w:hAnsi="Times New Roman" w:cs="Times New Roman"/>
                <w:color w:val="181818"/>
              </w:rPr>
              <w:t>о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т</w:t>
            </w:r>
            <w:r w:rsidRPr="00D679EE">
              <w:rPr>
                <w:rFonts w:ascii="Times New Roman" w:hAnsi="Times New Roman" w:cs="Times New Roman"/>
                <w:color w:val="181818"/>
              </w:rPr>
              <w:t>31.07.202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0</w:t>
            </w:r>
            <w:r w:rsidRPr="00D679EE">
              <w:rPr>
                <w:rFonts w:ascii="Times New Roman" w:hAnsi="Times New Roman" w:cs="Times New Roman"/>
                <w:color w:val="181818"/>
              </w:rPr>
              <w:t>№ 248-Ф</w:t>
            </w:r>
            <w:r w:rsidRPr="00D679EE">
              <w:rPr>
                <w:rFonts w:ascii="Times New Roman" w:hAnsi="Times New Roman" w:cs="Times New Roman"/>
                <w:color w:val="181818"/>
                <w:spacing w:val="345"/>
              </w:rPr>
              <w:t>З</w:t>
            </w:r>
            <w:r w:rsidRPr="00D679EE">
              <w:rPr>
                <w:rFonts w:ascii="Times New Roman" w:hAnsi="Times New Roman" w:cs="Times New Roman"/>
                <w:color w:val="181818"/>
              </w:rPr>
              <w:t>«О государственно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м</w:t>
            </w:r>
            <w:r w:rsidRPr="00D679EE">
              <w:rPr>
                <w:rFonts w:ascii="Times New Roman" w:hAnsi="Times New Roman" w:cs="Times New Roman"/>
                <w:color w:val="181818"/>
              </w:rPr>
              <w:t>контрол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е</w:t>
            </w:r>
            <w:r w:rsidRPr="00D679EE">
              <w:rPr>
                <w:rFonts w:ascii="Times New Roman" w:hAnsi="Times New Roman" w:cs="Times New Roman"/>
                <w:color w:val="181818"/>
              </w:rPr>
              <w:t>(надзоре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)и</w:t>
            </w:r>
            <w:r w:rsidRPr="00D679EE">
              <w:rPr>
                <w:rFonts w:ascii="Times New Roman" w:hAnsi="Times New Roman" w:cs="Times New Roman"/>
                <w:color w:val="181818"/>
              </w:rPr>
              <w:t>муниципально</w:t>
            </w:r>
            <w:r w:rsidRPr="00D679EE">
              <w:rPr>
                <w:rFonts w:ascii="Times New Roman" w:hAnsi="Times New Roman" w:cs="Times New Roman"/>
                <w:color w:val="181818"/>
                <w:spacing w:val="67"/>
              </w:rPr>
              <w:t>м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контроле </w:t>
            </w:r>
            <w:r w:rsidRPr="00D679EE">
              <w:rPr>
                <w:rFonts w:ascii="Times New Roman" w:hAnsi="Times New Roman" w:cs="Times New Roman"/>
                <w:color w:val="181818"/>
                <w:spacing w:val="60"/>
              </w:rPr>
              <w:t>в</w:t>
            </w:r>
            <w:r w:rsidRPr="00D679EE">
              <w:rPr>
                <w:rFonts w:ascii="Times New Roman" w:hAnsi="Times New Roman" w:cs="Times New Roman"/>
                <w:color w:val="181818"/>
              </w:rPr>
              <w:t>Российско</w:t>
            </w:r>
            <w:r w:rsidRPr="00D679EE">
              <w:rPr>
                <w:rFonts w:ascii="Times New Roman" w:hAnsi="Times New Roman" w:cs="Times New Roman"/>
                <w:color w:val="181818"/>
                <w:spacing w:val="60"/>
              </w:rPr>
              <w:t>й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Федерации, </w:t>
            </w:r>
            <w:r w:rsidRPr="00D679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Федеральный закон от 11.06.2021</w:t>
            </w:r>
            <w:r w:rsidRPr="00D679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br/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Разработчик программы</w:t>
            </w:r>
          </w:p>
        </w:tc>
        <w:tc>
          <w:tcPr>
            <w:tcW w:w="7337" w:type="dxa"/>
          </w:tcPr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>
              <w:rPr>
                <w:rFonts w:ascii="Times New Roman" w:hAnsi="Times New Roman" w:cs="Times New Roman"/>
                <w:color w:val="181818"/>
              </w:rPr>
              <w:t>Администрация Аргаяшского муниципального района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 (далее – Администрация)</w:t>
            </w:r>
          </w:p>
          <w:p w:rsidR="00FC71A3" w:rsidRPr="00D679EE" w:rsidRDefault="00FC71A3" w:rsidP="00FF09EF">
            <w:pPr>
              <w:jc w:val="both"/>
              <w:rPr>
                <w:rFonts w:ascii="Times New Roman" w:hAnsi="Times New Roman" w:cs="Times New Roman"/>
                <w:color w:val="181818"/>
              </w:rPr>
            </w:pPr>
          </w:p>
        </w:tc>
      </w:tr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Цель программы</w:t>
            </w:r>
          </w:p>
        </w:tc>
        <w:tc>
          <w:tcPr>
            <w:tcW w:w="7337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1. 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</w:t>
            </w:r>
            <w:r>
              <w:rPr>
                <w:rFonts w:ascii="Times New Roman" w:hAnsi="Times New Roman" w:cs="Times New Roman"/>
                <w:color w:val="181818"/>
              </w:rPr>
              <w:t>возникновения.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2. Снижение административной нагр</w:t>
            </w:r>
            <w:r>
              <w:rPr>
                <w:rFonts w:ascii="Times New Roman" w:hAnsi="Times New Roman" w:cs="Times New Roman"/>
                <w:color w:val="181818"/>
              </w:rPr>
              <w:t>узки на подконтрольные субъекты.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3. Повышение результативности и эффективности контрольной деятельности в сфере жилищно-коммунального хозяйства</w:t>
            </w:r>
            <w:r>
              <w:rPr>
                <w:rFonts w:ascii="Times New Roman" w:hAnsi="Times New Roman" w:cs="Times New Roman"/>
                <w:color w:val="181818"/>
              </w:rPr>
              <w:t>.</w:t>
            </w:r>
          </w:p>
        </w:tc>
      </w:tr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Задачи программы</w:t>
            </w:r>
          </w:p>
        </w:tc>
        <w:tc>
          <w:tcPr>
            <w:tcW w:w="7337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1. Предотвращение рисков причинения вреда охраняемым законом ценностям. 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2. 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3. Информирование, консультирование контролируемых лиц с использованием информационно-телекоммуникационных технологий. 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Срок реализации программы профилактики</w:t>
            </w:r>
          </w:p>
        </w:tc>
        <w:tc>
          <w:tcPr>
            <w:tcW w:w="7337" w:type="dxa"/>
          </w:tcPr>
          <w:p w:rsidR="00FC71A3" w:rsidRPr="00D679EE" w:rsidRDefault="00FC71A3" w:rsidP="00160785">
            <w:pPr>
              <w:tabs>
                <w:tab w:val="left" w:pos="1535"/>
              </w:tabs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202</w:t>
            </w:r>
            <w:r w:rsidR="00160785">
              <w:rPr>
                <w:rFonts w:ascii="Times New Roman" w:hAnsi="Times New Roman" w:cs="Times New Roman"/>
                <w:color w:val="181818"/>
              </w:rPr>
              <w:t>6</w:t>
            </w:r>
            <w:r w:rsidRPr="00D679EE">
              <w:rPr>
                <w:rFonts w:ascii="Times New Roman" w:hAnsi="Times New Roman" w:cs="Times New Roman"/>
                <w:color w:val="181818"/>
              </w:rPr>
              <w:t xml:space="preserve"> год</w:t>
            </w:r>
          </w:p>
        </w:tc>
      </w:tr>
      <w:tr w:rsidR="00FC71A3" w:rsidRPr="00D679EE" w:rsidTr="003206D9">
        <w:tc>
          <w:tcPr>
            <w:tcW w:w="2658" w:type="dxa"/>
          </w:tcPr>
          <w:p w:rsidR="00FC71A3" w:rsidRPr="00D679EE" w:rsidRDefault="00FC71A3" w:rsidP="00FF09EF">
            <w:pPr>
              <w:tabs>
                <w:tab w:val="left" w:pos="1535"/>
              </w:tabs>
              <w:ind w:right="-229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Ожидаемые результаты реализации программы</w:t>
            </w:r>
          </w:p>
        </w:tc>
        <w:tc>
          <w:tcPr>
            <w:tcW w:w="7337" w:type="dxa"/>
          </w:tcPr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1. Увеличение числа контролируемых лиц, соблюдающих при осуществлении деятельности обязательные требования жилищного законодательства, в том числе за обеспечением надлежащего содержания общего имущества собственников помещений в многоквартирных домах.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lastRenderedPageBreak/>
              <w:t>2. Повышение качества предоставляемых услуг населению.</w:t>
            </w:r>
          </w:p>
          <w:p w:rsidR="00FC71A3" w:rsidRPr="00D679EE" w:rsidRDefault="00FC71A3" w:rsidP="00FF09EF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3. Повышение правосознания и правовой культуры контролируемых лиц.</w:t>
            </w:r>
          </w:p>
        </w:tc>
      </w:tr>
    </w:tbl>
    <w:p w:rsidR="003206D9" w:rsidRDefault="003206D9" w:rsidP="0004540E">
      <w:pPr>
        <w:pStyle w:val="ConsPlusNormal"/>
        <w:ind w:firstLine="70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FC71A3" w:rsidRPr="00393399" w:rsidRDefault="00FC71A3" w:rsidP="0004540E">
      <w:pPr>
        <w:pStyle w:val="ConsPlusNormal"/>
        <w:ind w:firstLine="709"/>
        <w:jc w:val="center"/>
        <w:rPr>
          <w:rFonts w:ascii="Times New Roman" w:hAnsi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/>
          <w:bCs/>
          <w:color w:val="181818"/>
          <w:sz w:val="28"/>
          <w:szCs w:val="28"/>
        </w:rPr>
        <w:t>1. Анализ текущего состояния осуществления муниципального</w:t>
      </w:r>
    </w:p>
    <w:p w:rsidR="00FC71A3" w:rsidRPr="00393399" w:rsidRDefault="00FC71A3" w:rsidP="0004540E">
      <w:pPr>
        <w:pStyle w:val="ConsPlusNormal"/>
        <w:ind w:firstLine="709"/>
        <w:jc w:val="center"/>
        <w:rPr>
          <w:rFonts w:ascii="Times New Roman" w:hAnsi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/>
          <w:bCs/>
          <w:color w:val="181818"/>
          <w:sz w:val="28"/>
          <w:szCs w:val="28"/>
        </w:rPr>
        <w:t>жилищного контроля</w:t>
      </w:r>
    </w:p>
    <w:p w:rsidR="0004540E" w:rsidRPr="00D679EE" w:rsidRDefault="0004540E" w:rsidP="0004540E">
      <w:pPr>
        <w:pStyle w:val="ConsPlusNormal"/>
        <w:ind w:firstLine="70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1.1. 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ресурсоснабжающие организации;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 граждане, осуществляющие пользование помещениями муниципального жилищного фонда на основании договоров найма жилых помещений.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организации и проведения мероприятий по профилактике рисков причинения вреда (ущерба) охраняемым законом ценностям;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1.2.  Обзор по виду муниципального контроля.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>
        <w:rPr>
          <w:rFonts w:ascii="Times New Roman" w:hAnsi="Times New Roman" w:cs="Times New Roman"/>
          <w:color w:val="181818"/>
          <w:sz w:val="28"/>
          <w:szCs w:val="28"/>
        </w:rPr>
        <w:t>Аргаяшского муниципального района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  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1.3. Подконтрольные субъекты: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юридические лица, индивидуальные предприниматели и граждане, осуществляющие эксплуатацию жилищного фонда.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1.4. Анализ и оценка рисков причинения вреда охраняемым законом ценностям.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:rsidR="00B754F4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Наиболее значимым риском является факт причинения вреда объектам </w:t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жилищного фонда вследствие нарушения жилищного законодательства, контролируемым лицом, в том числе вследствие действий (бездействия) </w:t>
      </w:r>
    </w:p>
    <w:p w:rsidR="00FC71A3" w:rsidRPr="00D679EE" w:rsidRDefault="00FC71A3" w:rsidP="00B754F4">
      <w:pPr>
        <w:shd w:val="clear" w:color="auto" w:fill="FFFFFF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FC71A3" w:rsidRPr="00393399" w:rsidRDefault="00FC71A3" w:rsidP="0004540E">
      <w:pPr>
        <w:pStyle w:val="ConsPlusNormal"/>
        <w:ind w:firstLine="709"/>
        <w:jc w:val="center"/>
        <w:rPr>
          <w:rFonts w:ascii="Times New Roman" w:hAnsi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/>
          <w:bCs/>
          <w:color w:val="181818"/>
          <w:sz w:val="28"/>
          <w:szCs w:val="28"/>
        </w:rPr>
        <w:t>2. Характеристика проблем, на решение которых направлена</w:t>
      </w:r>
    </w:p>
    <w:p w:rsidR="00FC71A3" w:rsidRPr="00393399" w:rsidRDefault="00FC71A3" w:rsidP="0004540E">
      <w:pPr>
        <w:pStyle w:val="ConsPlusNormal"/>
        <w:ind w:firstLine="709"/>
        <w:jc w:val="center"/>
        <w:rPr>
          <w:rFonts w:ascii="Times New Roman" w:hAnsi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/>
          <w:bCs/>
          <w:color w:val="181818"/>
          <w:sz w:val="28"/>
          <w:szCs w:val="28"/>
        </w:rPr>
        <w:t>программа профилактики</w:t>
      </w:r>
    </w:p>
    <w:p w:rsidR="00FC71A3" w:rsidRPr="00D679EE" w:rsidRDefault="00FC71A3" w:rsidP="00D84DA0">
      <w:pPr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2.1. К основным проблемам в жилищной сфере относится нарастающий износ жилищного фонда и инженерных коммуникаций, слабое развитие конкуренции на рынке управляющих организаций, низкое качество услуг, предоставляемых населению, наряду с высокой стоимостью услуг.</w:t>
      </w:r>
    </w:p>
    <w:p w:rsidR="00FC71A3" w:rsidRPr="00D679EE" w:rsidRDefault="00FC71A3" w:rsidP="00D84DA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ab/>
      </w:r>
      <w:r w:rsidRPr="00D679EE">
        <w:rPr>
          <w:rFonts w:ascii="Times New Roman" w:hAnsi="Times New Roman" w:cs="Times New Roman"/>
          <w:color w:val="181818"/>
          <w:sz w:val="28"/>
          <w:szCs w:val="28"/>
        </w:rPr>
        <w:tab/>
      </w:r>
    </w:p>
    <w:p w:rsidR="00FC71A3" w:rsidRPr="00393399" w:rsidRDefault="00FC71A3" w:rsidP="0004540E">
      <w:pPr>
        <w:ind w:firstLine="709"/>
        <w:jc w:val="center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 w:cs="Times New Roman"/>
          <w:bCs/>
          <w:color w:val="181818"/>
          <w:sz w:val="28"/>
          <w:szCs w:val="28"/>
        </w:rPr>
        <w:t>3. Цели и задачи реализации программы профилактики</w:t>
      </w:r>
    </w:p>
    <w:p w:rsidR="00FC71A3" w:rsidRPr="00D679EE" w:rsidRDefault="00FC71A3" w:rsidP="00D84DA0">
      <w:pPr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FC71A3" w:rsidRPr="00D679EE" w:rsidRDefault="00FC71A3" w:rsidP="00D84DA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FC71A3" w:rsidRPr="00D679EE" w:rsidRDefault="00FC71A3" w:rsidP="00D84DA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1) стимулирование добросовестного соблюдения обязательных требований всеми контролируемыми лицами;</w:t>
      </w:r>
    </w:p>
    <w:p w:rsidR="00FC71A3" w:rsidRPr="00D679EE" w:rsidRDefault="00FC71A3" w:rsidP="00D84DA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3.2. Задачами Программы являются: 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- укрепление системы профилактики нарушений обязательных требований; 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FC71A3" w:rsidRPr="00D679EE" w:rsidRDefault="00FC71A3" w:rsidP="00D84DA0">
      <w:pPr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:rsidR="003206D9" w:rsidRPr="00393399" w:rsidRDefault="00FC71A3" w:rsidP="0004540E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 w:cs="Times New Roman"/>
          <w:bCs/>
          <w:color w:val="181818"/>
          <w:sz w:val="28"/>
          <w:szCs w:val="28"/>
        </w:rPr>
        <w:t>4. Перечень профилактических мероприятий, сроки</w:t>
      </w:r>
    </w:p>
    <w:p w:rsidR="00FC71A3" w:rsidRPr="00393399" w:rsidRDefault="00FC71A3" w:rsidP="0004540E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(периодичность) проведения</w:t>
      </w:r>
    </w:p>
    <w:tbl>
      <w:tblPr>
        <w:tblpPr w:leftFromText="180" w:rightFromText="180" w:vertAnchor="text" w:horzAnchor="margin" w:tblpXSpec="center" w:tblpY="1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820"/>
        <w:gridCol w:w="2268"/>
        <w:gridCol w:w="2268"/>
      </w:tblGrid>
      <w:tr w:rsidR="00FC71A3" w:rsidRPr="00D679EE" w:rsidTr="0004540E">
        <w:tc>
          <w:tcPr>
            <w:tcW w:w="675" w:type="dxa"/>
          </w:tcPr>
          <w:p w:rsidR="00FC71A3" w:rsidRPr="00D679EE" w:rsidRDefault="00FC71A3" w:rsidP="00D84DA0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 xml:space="preserve">№ п/п </w:t>
            </w:r>
          </w:p>
        </w:tc>
        <w:tc>
          <w:tcPr>
            <w:tcW w:w="4820" w:type="dxa"/>
          </w:tcPr>
          <w:p w:rsidR="00FC71A3" w:rsidRPr="00D679EE" w:rsidRDefault="00FC71A3" w:rsidP="00B754F4">
            <w:pPr>
              <w:ind w:firstLine="34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Наименование формы мероприятия</w:t>
            </w:r>
          </w:p>
        </w:tc>
        <w:tc>
          <w:tcPr>
            <w:tcW w:w="2268" w:type="dxa"/>
          </w:tcPr>
          <w:p w:rsidR="00FC71A3" w:rsidRPr="00D679EE" w:rsidRDefault="00FC71A3" w:rsidP="0004540E">
            <w:pPr>
              <w:ind w:firstLine="34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Срок (периодичность) проведения мероприятия</w:t>
            </w:r>
          </w:p>
        </w:tc>
        <w:tc>
          <w:tcPr>
            <w:tcW w:w="2268" w:type="dxa"/>
          </w:tcPr>
          <w:p w:rsidR="00FC71A3" w:rsidRPr="00D679EE" w:rsidRDefault="00FC71A3" w:rsidP="00B754F4">
            <w:pPr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Ответственный исполнитель</w:t>
            </w:r>
          </w:p>
        </w:tc>
      </w:tr>
      <w:tr w:rsidR="00FC71A3" w:rsidRPr="00D679EE" w:rsidTr="0004540E">
        <w:tc>
          <w:tcPr>
            <w:tcW w:w="10031" w:type="dxa"/>
            <w:gridSpan w:val="4"/>
          </w:tcPr>
          <w:p w:rsidR="00FC71A3" w:rsidRPr="00D679EE" w:rsidRDefault="00FC71A3" w:rsidP="0004540E">
            <w:pPr>
              <w:ind w:firstLine="709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1. Информирование</w:t>
            </w:r>
          </w:p>
        </w:tc>
      </w:tr>
      <w:tr w:rsidR="00FC71A3" w:rsidRPr="00D679EE" w:rsidTr="0004540E">
        <w:tc>
          <w:tcPr>
            <w:tcW w:w="675" w:type="dxa"/>
          </w:tcPr>
          <w:p w:rsidR="00FC71A3" w:rsidRPr="00D679EE" w:rsidRDefault="00FC71A3" w:rsidP="00D84DA0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11</w:t>
            </w:r>
          </w:p>
          <w:p w:rsidR="00FC71A3" w:rsidRPr="00D679EE" w:rsidRDefault="00FC71A3" w:rsidP="00D84DA0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D84DA0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D84DA0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4820" w:type="dxa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lastRenderedPageBreak/>
              <w:t xml:space="preserve">Актуализация и размещение в сети «Интернет» на официальном сайте </w:t>
            </w:r>
            <w:r w:rsidRPr="00E076A5">
              <w:rPr>
                <w:rFonts w:ascii="Times New Roman" w:hAnsi="Times New Roman" w:cs="Times New Roman"/>
                <w:color w:val="181818"/>
              </w:rPr>
              <w:lastRenderedPageBreak/>
              <w:t>https://argayash.ru/</w:t>
            </w:r>
            <w:r w:rsidRPr="00D679EE">
              <w:rPr>
                <w:rFonts w:ascii="Times New Roman" w:hAnsi="Times New Roman" w:cs="Times New Roman"/>
                <w:color w:val="181818"/>
              </w:rPr>
              <w:t>: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04540E">
            <w:pPr>
              <w:ind w:firstLine="709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б) материалов, информационных писем, руководств по соблюдению обязательных требований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в) перечня индикаторов риска нарушения обязательных требований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</w:p>
          <w:p w:rsidR="00FC71A3" w:rsidRPr="00D679EE" w:rsidRDefault="00FC71A3" w:rsidP="0004540E">
            <w:pPr>
              <w:tabs>
                <w:tab w:val="left" w:pos="176"/>
              </w:tabs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г) программы профилактики рисков причинения вреда (ущерба) охраняемым законом ценностям</w:t>
            </w:r>
          </w:p>
          <w:p w:rsidR="00FC71A3" w:rsidRPr="00D679EE" w:rsidRDefault="00FC71A3" w:rsidP="0004540E">
            <w:pPr>
              <w:ind w:firstLine="709"/>
              <w:rPr>
                <w:rFonts w:ascii="Times New Roman" w:hAnsi="Times New Roman" w:cs="Times New Roman"/>
                <w:color w:val="181818"/>
              </w:rPr>
            </w:pPr>
          </w:p>
        </w:tc>
        <w:tc>
          <w:tcPr>
            <w:tcW w:w="2268" w:type="dxa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реже 2 раз в год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позднее 10 рабочих дней после их утверждения</w:t>
            </w:r>
          </w:p>
          <w:p w:rsidR="0059410C" w:rsidRDefault="0059410C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2268" w:type="dxa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lastRenderedPageBreak/>
              <w:t xml:space="preserve">Специалист администрации, к </w:t>
            </w: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lastRenderedPageBreak/>
              <w:t>должностным обязанностям которого относится осуществление муниципального контроля</w:t>
            </w:r>
          </w:p>
        </w:tc>
      </w:tr>
      <w:tr w:rsidR="00FC71A3" w:rsidRPr="00D679EE" w:rsidTr="0004540E">
        <w:tc>
          <w:tcPr>
            <w:tcW w:w="10031" w:type="dxa"/>
            <w:gridSpan w:val="4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2. Объявление предостережения</w:t>
            </w:r>
          </w:p>
        </w:tc>
      </w:tr>
      <w:tr w:rsidR="00FC71A3" w:rsidRPr="00D679EE" w:rsidTr="0004540E">
        <w:tc>
          <w:tcPr>
            <w:tcW w:w="675" w:type="dxa"/>
          </w:tcPr>
          <w:p w:rsidR="00FC71A3" w:rsidRPr="00D679EE" w:rsidRDefault="00FC71A3" w:rsidP="00B754F4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21</w:t>
            </w:r>
          </w:p>
        </w:tc>
        <w:tc>
          <w:tcPr>
            <w:tcW w:w="4820" w:type="dxa"/>
          </w:tcPr>
          <w:p w:rsidR="00FC71A3" w:rsidRPr="00D679EE" w:rsidRDefault="00FC71A3" w:rsidP="0004540E">
            <w:pPr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268" w:type="dxa"/>
          </w:tcPr>
          <w:p w:rsidR="00FC71A3" w:rsidRPr="00D679EE" w:rsidRDefault="00FC71A3" w:rsidP="006A1632">
            <w:pPr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При принятии решения должностными лицами, уполномоченными на осуществление муниципального жилищного контроля</w:t>
            </w:r>
          </w:p>
        </w:tc>
        <w:tc>
          <w:tcPr>
            <w:tcW w:w="2268" w:type="dxa"/>
          </w:tcPr>
          <w:p w:rsidR="00FC71A3" w:rsidRPr="00D679EE" w:rsidRDefault="00FC71A3" w:rsidP="00B754F4">
            <w:pPr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C71A3" w:rsidRPr="00D679EE" w:rsidTr="0004540E">
        <w:tc>
          <w:tcPr>
            <w:tcW w:w="10031" w:type="dxa"/>
            <w:gridSpan w:val="4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3. Консультирование</w:t>
            </w:r>
          </w:p>
        </w:tc>
      </w:tr>
      <w:tr w:rsidR="00FC71A3" w:rsidRPr="00D679EE" w:rsidTr="0004540E">
        <w:tc>
          <w:tcPr>
            <w:tcW w:w="675" w:type="dxa"/>
          </w:tcPr>
          <w:p w:rsidR="00FC71A3" w:rsidRPr="00D679EE" w:rsidRDefault="00FC71A3" w:rsidP="00B754F4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31</w:t>
            </w:r>
          </w:p>
        </w:tc>
        <w:tc>
          <w:tcPr>
            <w:tcW w:w="4820" w:type="dxa"/>
          </w:tcPr>
          <w:p w:rsidR="00FC71A3" w:rsidRPr="00D679EE" w:rsidRDefault="00FC71A3" w:rsidP="0004540E">
            <w:pPr>
              <w:pStyle w:val="ConsPlusNormal"/>
              <w:ind w:firstLine="34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/>
                <w:color w:val="181818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D679EE">
              <w:rPr>
                <w:rFonts w:ascii="Times New Roman" w:hAnsi="Times New Roman"/>
                <w:color w:val="181818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жилищного контроля:</w:t>
            </w:r>
          </w:p>
          <w:p w:rsidR="00FC71A3" w:rsidRPr="00D679EE" w:rsidRDefault="00FC71A3" w:rsidP="0004540E">
            <w:pPr>
              <w:pStyle w:val="ConsPlusNormal"/>
              <w:tabs>
                <w:tab w:val="left" w:pos="1134"/>
              </w:tabs>
              <w:ind w:firstLine="34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/>
                <w:color w:val="181818"/>
                <w:sz w:val="24"/>
                <w:szCs w:val="24"/>
              </w:rPr>
              <w:t>1) порядок проведения контрольных мероприятий;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2) порядок осуществления профилактических мероприятий;</w:t>
            </w:r>
          </w:p>
          <w:p w:rsidR="00FC71A3" w:rsidRPr="00D679EE" w:rsidRDefault="00FC71A3" w:rsidP="0004540E">
            <w:pPr>
              <w:pStyle w:val="ConsPlusNormal"/>
              <w:tabs>
                <w:tab w:val="left" w:pos="1134"/>
              </w:tabs>
              <w:ind w:firstLine="34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/>
                <w:color w:val="181818"/>
                <w:sz w:val="24"/>
                <w:szCs w:val="24"/>
              </w:rPr>
              <w:t>3) порядок принятия решений по итогам контрольных мероприятий;</w:t>
            </w:r>
          </w:p>
          <w:p w:rsidR="00FC71A3" w:rsidRPr="00D679EE" w:rsidRDefault="00FC71A3" w:rsidP="0004540E">
            <w:pPr>
              <w:pStyle w:val="ConsPlusNormal"/>
              <w:tabs>
                <w:tab w:val="left" w:pos="1134"/>
              </w:tabs>
              <w:ind w:firstLine="34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D679EE">
              <w:rPr>
                <w:rFonts w:ascii="Times New Roman" w:hAnsi="Times New Roman"/>
                <w:color w:val="181818"/>
                <w:sz w:val="24"/>
                <w:szCs w:val="24"/>
              </w:rPr>
              <w:t>4) порядок обжалования решений Контрольного органа.</w:t>
            </w:r>
          </w:p>
          <w:p w:rsidR="00FC71A3" w:rsidRPr="00D679EE" w:rsidRDefault="00FC71A3" w:rsidP="0004540E">
            <w:pPr>
              <w:ind w:firstLine="709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</w:p>
        </w:tc>
        <w:tc>
          <w:tcPr>
            <w:tcW w:w="2268" w:type="dxa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По запросу</w:t>
            </w:r>
          </w:p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В форме устных и письменных разъяснений</w:t>
            </w:r>
          </w:p>
        </w:tc>
        <w:tc>
          <w:tcPr>
            <w:tcW w:w="2268" w:type="dxa"/>
          </w:tcPr>
          <w:p w:rsidR="00FC71A3" w:rsidRPr="00D679EE" w:rsidRDefault="00FC71A3" w:rsidP="0004540E">
            <w:pPr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C71A3" w:rsidRPr="00D679EE" w:rsidTr="0004540E">
        <w:tc>
          <w:tcPr>
            <w:tcW w:w="10031" w:type="dxa"/>
            <w:gridSpan w:val="4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4. Профилактический визит</w:t>
            </w:r>
          </w:p>
        </w:tc>
      </w:tr>
      <w:tr w:rsidR="00FC71A3" w:rsidRPr="00D679EE" w:rsidTr="0004540E">
        <w:tc>
          <w:tcPr>
            <w:tcW w:w="675" w:type="dxa"/>
          </w:tcPr>
          <w:p w:rsidR="00FC71A3" w:rsidRPr="00D679EE" w:rsidRDefault="00FC71A3" w:rsidP="00B754F4">
            <w:pPr>
              <w:ind w:firstLine="709"/>
              <w:jc w:val="center"/>
              <w:rPr>
                <w:rFonts w:ascii="Times New Roman" w:hAnsi="Times New Roman" w:cs="Times New Roman"/>
                <w:color w:val="181818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41</w:t>
            </w:r>
          </w:p>
        </w:tc>
        <w:tc>
          <w:tcPr>
            <w:tcW w:w="4820" w:type="dxa"/>
          </w:tcPr>
          <w:p w:rsidR="00FC71A3" w:rsidRPr="00D679EE" w:rsidRDefault="00FC71A3" w:rsidP="0004540E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</w:rPr>
              <w:t>Профилактическая беседа по месту осуществления деятельности контролируемого лица либо путем использования видеоконференции-связи</w:t>
            </w:r>
          </w:p>
        </w:tc>
        <w:tc>
          <w:tcPr>
            <w:tcW w:w="2268" w:type="dxa"/>
          </w:tcPr>
          <w:p w:rsidR="00FC71A3" w:rsidRPr="00D679EE" w:rsidRDefault="00FC71A3" w:rsidP="00160785">
            <w:pPr>
              <w:ind w:firstLine="34"/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3 квартал 202</w:t>
            </w:r>
            <w:r w:rsidR="00160785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>6</w:t>
            </w:r>
            <w:r w:rsidRPr="00D679EE"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  <w:t xml:space="preserve"> года</w:t>
            </w:r>
          </w:p>
        </w:tc>
        <w:tc>
          <w:tcPr>
            <w:tcW w:w="2268" w:type="dxa"/>
          </w:tcPr>
          <w:p w:rsidR="00FC71A3" w:rsidRPr="00D679EE" w:rsidRDefault="00FC71A3" w:rsidP="0004540E">
            <w:pPr>
              <w:rPr>
                <w:rFonts w:ascii="Times New Roman" w:hAnsi="Times New Roman" w:cs="Times New Roman"/>
                <w:color w:val="181818"/>
                <w:spacing w:val="2"/>
                <w:shd w:val="clear" w:color="auto" w:fill="FFFFFF"/>
              </w:rPr>
            </w:pPr>
            <w:r w:rsidRPr="00D679EE">
              <w:rPr>
                <w:rFonts w:ascii="Times New Roman" w:hAnsi="Times New Roman" w:cs="Times New Roman"/>
                <w:color w:val="181818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FC71A3" w:rsidRDefault="00FC71A3" w:rsidP="00D84DA0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color w:val="181818"/>
        </w:rPr>
      </w:pP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  <w:r w:rsidRPr="00D679EE">
        <w:rPr>
          <w:rFonts w:ascii="Times New Roman" w:hAnsi="Times New Roman" w:cs="Times New Roman"/>
          <w:b/>
          <w:bCs/>
          <w:color w:val="181818"/>
        </w:rPr>
        <w:tab/>
      </w:r>
    </w:p>
    <w:p w:rsidR="0004540E" w:rsidRPr="00D679EE" w:rsidRDefault="0004540E" w:rsidP="00D84DA0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color w:val="181818"/>
        </w:rPr>
      </w:pPr>
    </w:p>
    <w:p w:rsidR="00B754F4" w:rsidRDefault="00B754F4" w:rsidP="00D84DA0">
      <w:pPr>
        <w:tabs>
          <w:tab w:val="left" w:pos="992"/>
        </w:tabs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FC71A3" w:rsidRPr="00393399" w:rsidRDefault="00FC71A3" w:rsidP="00D84DA0">
      <w:pPr>
        <w:tabs>
          <w:tab w:val="left" w:pos="992"/>
        </w:tabs>
        <w:ind w:firstLine="709"/>
        <w:jc w:val="center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393399">
        <w:rPr>
          <w:rFonts w:ascii="Times New Roman" w:hAnsi="Times New Roman" w:cs="Times New Roman"/>
          <w:bCs/>
          <w:color w:val="181818"/>
          <w:sz w:val="28"/>
          <w:szCs w:val="28"/>
        </w:rPr>
        <w:t>5. Показатели результативности и эффективности программы профилактики рисков причинения вреда (ущерба)</w:t>
      </w:r>
    </w:p>
    <w:p w:rsidR="00FC71A3" w:rsidRPr="00D679EE" w:rsidRDefault="00FC71A3" w:rsidP="0004540E">
      <w:pPr>
        <w:tabs>
          <w:tab w:val="left" w:pos="992"/>
        </w:tabs>
        <w:ind w:firstLine="709"/>
        <w:rPr>
          <w:rFonts w:ascii="Times New Roman" w:hAnsi="Times New Roman" w:cs="Times New Roman"/>
          <w:b/>
          <w:bCs/>
          <w:color w:val="181818"/>
        </w:rPr>
      </w:pPr>
    </w:p>
    <w:p w:rsidR="00FC71A3" w:rsidRPr="00D679EE" w:rsidRDefault="00FC71A3" w:rsidP="0004540E">
      <w:pPr>
        <w:tabs>
          <w:tab w:val="left" w:pos="992"/>
        </w:tabs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Реализация программы профилактики способствует:</w:t>
      </w:r>
    </w:p>
    <w:p w:rsidR="00FC71A3" w:rsidRPr="00D679EE" w:rsidRDefault="00FC71A3" w:rsidP="0004540E">
      <w:pPr>
        <w:tabs>
          <w:tab w:val="left" w:pos="992"/>
        </w:tabs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увеличению доли контролируемых лиц, соблюдающих обязательные требования жилищного законодательства;</w:t>
      </w:r>
    </w:p>
    <w:p w:rsidR="00FC71A3" w:rsidRPr="00D679EE" w:rsidRDefault="00FC71A3" w:rsidP="0004540E">
      <w:pPr>
        <w:tabs>
          <w:tab w:val="left" w:pos="992"/>
        </w:tabs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повышению качества предоставляемых жилищно-коммунальных услуг;</w:t>
      </w:r>
    </w:p>
    <w:p w:rsidR="00FC71A3" w:rsidRPr="00D679EE" w:rsidRDefault="00FC71A3" w:rsidP="0004540E">
      <w:pPr>
        <w:tabs>
          <w:tab w:val="left" w:pos="992"/>
        </w:tabs>
        <w:ind w:firstLine="709"/>
        <w:rPr>
          <w:rFonts w:ascii="Times New Roman" w:hAnsi="Times New Roman" w:cs="Times New Roman"/>
          <w:color w:val="181818"/>
          <w:sz w:val="28"/>
          <w:szCs w:val="28"/>
        </w:rPr>
      </w:pPr>
      <w:r w:rsidRPr="00D679EE">
        <w:rPr>
          <w:rFonts w:ascii="Times New Roman" w:hAnsi="Times New Roman" w:cs="Times New Roman"/>
          <w:color w:val="181818"/>
          <w:sz w:val="28"/>
          <w:szCs w:val="28"/>
        </w:rPr>
        <w:t>- развитию системы профилактических мероприятий.</w:t>
      </w:r>
    </w:p>
    <w:p w:rsidR="00FC71A3" w:rsidRPr="00D679EE" w:rsidRDefault="00FC71A3" w:rsidP="00D84DA0">
      <w:pPr>
        <w:pStyle w:val="Style2"/>
        <w:widowControl/>
        <w:spacing w:line="240" w:lineRule="auto"/>
        <w:ind w:firstLine="709"/>
        <w:rPr>
          <w:rFonts w:cs="Arial Unicode MS"/>
          <w:color w:val="181818"/>
          <w:sz w:val="28"/>
          <w:szCs w:val="28"/>
        </w:rPr>
      </w:pPr>
    </w:p>
    <w:p w:rsidR="00FC71A3" w:rsidRPr="00D679EE" w:rsidRDefault="00FC71A3" w:rsidP="00D84DA0">
      <w:pPr>
        <w:ind w:firstLine="709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:rsidR="00FC71A3" w:rsidRPr="00D679EE" w:rsidRDefault="00FC71A3" w:rsidP="00D84DA0">
      <w:pPr>
        <w:tabs>
          <w:tab w:val="left" w:pos="38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D84DA0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p w:rsidR="00FC71A3" w:rsidRPr="00D679EE" w:rsidRDefault="00FC71A3" w:rsidP="00BB4D24">
      <w:pPr>
        <w:pStyle w:val="a6"/>
        <w:shd w:val="clear" w:color="auto" w:fill="auto"/>
        <w:spacing w:line="240" w:lineRule="auto"/>
        <w:ind w:firstLine="709"/>
        <w:jc w:val="both"/>
        <w:rPr>
          <w:rFonts w:cs="Arial Unicode MS"/>
        </w:rPr>
      </w:pPr>
    </w:p>
    <w:sectPr w:rsidR="00FC71A3" w:rsidRPr="00D679EE" w:rsidSect="00D84DA0">
      <w:pgSz w:w="11900" w:h="16840"/>
      <w:pgMar w:top="284" w:right="851" w:bottom="1134" w:left="1418" w:header="675" w:footer="56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891" w:rsidRDefault="00AF4891" w:rsidP="0050038D">
      <w:r>
        <w:separator/>
      </w:r>
    </w:p>
  </w:endnote>
  <w:endnote w:type="continuationSeparator" w:id="1">
    <w:p w:rsidR="00AF4891" w:rsidRDefault="00AF4891" w:rsidP="00500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891" w:rsidRDefault="00AF4891">
      <w:r>
        <w:separator/>
      </w:r>
    </w:p>
  </w:footnote>
  <w:footnote w:type="continuationSeparator" w:id="1">
    <w:p w:rsidR="00AF4891" w:rsidRDefault="00AF4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043"/>
    <w:multiLevelType w:val="hybridMultilevel"/>
    <w:tmpl w:val="DCBA64F8"/>
    <w:lvl w:ilvl="0" w:tplc="E7CC1714">
      <w:start w:val="3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">
    <w:nsid w:val="028B366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B62EDC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B438A3"/>
    <w:multiLevelType w:val="multilevel"/>
    <w:tmpl w:val="65F4DED0"/>
    <w:lvl w:ilvl="0">
      <w:start w:val="1"/>
      <w:numFmt w:val="decimal"/>
      <w:lvlText w:val="%1."/>
      <w:lvlJc w:val="left"/>
      <w:pPr>
        <w:ind w:left="1245" w:hanging="5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529" w:hanging="180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</w:lvl>
  </w:abstractNum>
  <w:abstractNum w:abstractNumId="4">
    <w:nsid w:val="03FE66B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CC55E1"/>
    <w:multiLevelType w:val="hybridMultilevel"/>
    <w:tmpl w:val="CD501DFC"/>
    <w:lvl w:ilvl="0" w:tplc="6C6E4D74">
      <w:start w:val="100"/>
      <w:numFmt w:val="decimal"/>
      <w:lvlText w:val="%1."/>
      <w:lvlJc w:val="left"/>
      <w:pPr>
        <w:tabs>
          <w:tab w:val="num" w:pos="1456"/>
        </w:tabs>
        <w:ind w:left="1456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6">
    <w:nsid w:val="0854265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3269C8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7D435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B130F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D5440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1E4476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290F6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480803"/>
    <w:multiLevelType w:val="multilevel"/>
    <w:tmpl w:val="FFFFFFFF"/>
    <w:lvl w:ilvl="0">
      <w:start w:val="4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0078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9E022E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424F33"/>
    <w:multiLevelType w:val="hybridMultilevel"/>
    <w:tmpl w:val="B28E8B76"/>
    <w:lvl w:ilvl="0" w:tplc="FB84B588">
      <w:start w:val="100"/>
      <w:numFmt w:val="decimal"/>
      <w:lvlText w:val="%1."/>
      <w:lvlJc w:val="left"/>
      <w:pPr>
        <w:tabs>
          <w:tab w:val="num" w:pos="2268"/>
        </w:tabs>
        <w:ind w:left="2268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7">
    <w:nsid w:val="33AC05C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2B256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B546C2"/>
    <w:multiLevelType w:val="hybridMultilevel"/>
    <w:tmpl w:val="91F4D540"/>
    <w:lvl w:ilvl="0" w:tplc="77AED442">
      <w:start w:val="100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D63077"/>
    <w:multiLevelType w:val="hybridMultilevel"/>
    <w:tmpl w:val="EB4EC1D0"/>
    <w:lvl w:ilvl="0" w:tplc="A3AC9314">
      <w:start w:val="3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1">
    <w:nsid w:val="440B12C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836BD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4D5DF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9F2024"/>
    <w:multiLevelType w:val="multilevel"/>
    <w:tmpl w:val="91F4D540"/>
    <w:lvl w:ilvl="0">
      <w:start w:val="100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BF66B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645B5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AB43E0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111A9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460F69"/>
    <w:multiLevelType w:val="hybridMultilevel"/>
    <w:tmpl w:val="EA241502"/>
    <w:lvl w:ilvl="0" w:tplc="E6583D66">
      <w:start w:val="100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246757"/>
    <w:multiLevelType w:val="multilevel"/>
    <w:tmpl w:val="FFFFFFFF"/>
    <w:lvl w:ilvl="0">
      <w:start w:val="4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772404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B43689"/>
    <w:multiLevelType w:val="hybridMultilevel"/>
    <w:tmpl w:val="0D0857C2"/>
    <w:lvl w:ilvl="0" w:tplc="7C8C763A">
      <w:start w:val="100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D87AD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396C3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2D2138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5A50B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21"/>
  </w:num>
  <w:num w:numId="5">
    <w:abstractNumId w:val="22"/>
  </w:num>
  <w:num w:numId="6">
    <w:abstractNumId w:val="6"/>
  </w:num>
  <w:num w:numId="7">
    <w:abstractNumId w:val="13"/>
  </w:num>
  <w:num w:numId="8">
    <w:abstractNumId w:val="8"/>
  </w:num>
  <w:num w:numId="9">
    <w:abstractNumId w:val="23"/>
  </w:num>
  <w:num w:numId="10">
    <w:abstractNumId w:val="36"/>
  </w:num>
  <w:num w:numId="11">
    <w:abstractNumId w:val="25"/>
  </w:num>
  <w:num w:numId="12">
    <w:abstractNumId w:val="1"/>
  </w:num>
  <w:num w:numId="13">
    <w:abstractNumId w:val="28"/>
  </w:num>
  <w:num w:numId="14">
    <w:abstractNumId w:val="26"/>
  </w:num>
  <w:num w:numId="15">
    <w:abstractNumId w:val="15"/>
  </w:num>
  <w:num w:numId="16">
    <w:abstractNumId w:val="31"/>
  </w:num>
  <w:num w:numId="17">
    <w:abstractNumId w:val="33"/>
  </w:num>
  <w:num w:numId="18">
    <w:abstractNumId w:val="4"/>
  </w:num>
  <w:num w:numId="19">
    <w:abstractNumId w:val="12"/>
  </w:num>
  <w:num w:numId="20">
    <w:abstractNumId w:val="27"/>
  </w:num>
  <w:num w:numId="21">
    <w:abstractNumId w:val="18"/>
  </w:num>
  <w:num w:numId="22">
    <w:abstractNumId w:val="34"/>
  </w:num>
  <w:num w:numId="23">
    <w:abstractNumId w:val="2"/>
  </w:num>
  <w:num w:numId="24">
    <w:abstractNumId w:val="35"/>
  </w:num>
  <w:num w:numId="25">
    <w:abstractNumId w:val="11"/>
  </w:num>
  <w:num w:numId="26">
    <w:abstractNumId w:val="17"/>
  </w:num>
  <w:num w:numId="27">
    <w:abstractNumId w:val="7"/>
  </w:num>
  <w:num w:numId="28">
    <w:abstractNumId w:val="0"/>
  </w:num>
  <w:num w:numId="29">
    <w:abstractNumId w:val="20"/>
  </w:num>
  <w:num w:numId="30">
    <w:abstractNumId w:val="30"/>
  </w:num>
  <w:num w:numId="31">
    <w:abstractNumId w:val="19"/>
  </w:num>
  <w:num w:numId="32">
    <w:abstractNumId w:val="24"/>
  </w:num>
  <w:num w:numId="33">
    <w:abstractNumId w:val="32"/>
  </w:num>
  <w:num w:numId="34">
    <w:abstractNumId w:val="5"/>
  </w:num>
  <w:num w:numId="35">
    <w:abstractNumId w:val="29"/>
  </w:num>
  <w:num w:numId="36">
    <w:abstractNumId w:val="16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38D"/>
    <w:rsid w:val="000043EE"/>
    <w:rsid w:val="00016C6F"/>
    <w:rsid w:val="0004540E"/>
    <w:rsid w:val="000532C6"/>
    <w:rsid w:val="00062E37"/>
    <w:rsid w:val="00062E89"/>
    <w:rsid w:val="000B73BB"/>
    <w:rsid w:val="00142EF9"/>
    <w:rsid w:val="00145317"/>
    <w:rsid w:val="00160785"/>
    <w:rsid w:val="0016129B"/>
    <w:rsid w:val="00186C99"/>
    <w:rsid w:val="001B54DA"/>
    <w:rsid w:val="001E685F"/>
    <w:rsid w:val="00222330"/>
    <w:rsid w:val="0024031D"/>
    <w:rsid w:val="00242DCB"/>
    <w:rsid w:val="00243F38"/>
    <w:rsid w:val="00254935"/>
    <w:rsid w:val="00265AC3"/>
    <w:rsid w:val="002C6118"/>
    <w:rsid w:val="002F1E32"/>
    <w:rsid w:val="002F7046"/>
    <w:rsid w:val="00315A35"/>
    <w:rsid w:val="003206D9"/>
    <w:rsid w:val="00386AB8"/>
    <w:rsid w:val="00393399"/>
    <w:rsid w:val="003E2010"/>
    <w:rsid w:val="004038B5"/>
    <w:rsid w:val="004275AB"/>
    <w:rsid w:val="00470F1C"/>
    <w:rsid w:val="004B50E7"/>
    <w:rsid w:val="004C0BA3"/>
    <w:rsid w:val="004C0F4D"/>
    <w:rsid w:val="004E169D"/>
    <w:rsid w:val="0050038D"/>
    <w:rsid w:val="0052728E"/>
    <w:rsid w:val="00564FD1"/>
    <w:rsid w:val="005704E3"/>
    <w:rsid w:val="00587C0E"/>
    <w:rsid w:val="0059410C"/>
    <w:rsid w:val="005C2658"/>
    <w:rsid w:val="005C7BF3"/>
    <w:rsid w:val="00623222"/>
    <w:rsid w:val="006267BE"/>
    <w:rsid w:val="00635281"/>
    <w:rsid w:val="0064390E"/>
    <w:rsid w:val="006459D9"/>
    <w:rsid w:val="0067609D"/>
    <w:rsid w:val="006A1632"/>
    <w:rsid w:val="0073394E"/>
    <w:rsid w:val="00742D43"/>
    <w:rsid w:val="00756B60"/>
    <w:rsid w:val="00773EF9"/>
    <w:rsid w:val="00780C2E"/>
    <w:rsid w:val="007817E7"/>
    <w:rsid w:val="00792FF3"/>
    <w:rsid w:val="00797575"/>
    <w:rsid w:val="007B313E"/>
    <w:rsid w:val="00843AB5"/>
    <w:rsid w:val="00885032"/>
    <w:rsid w:val="008A6A4D"/>
    <w:rsid w:val="008C39BA"/>
    <w:rsid w:val="008C4B3E"/>
    <w:rsid w:val="008D55F0"/>
    <w:rsid w:val="008E6757"/>
    <w:rsid w:val="00900714"/>
    <w:rsid w:val="00903977"/>
    <w:rsid w:val="00905E00"/>
    <w:rsid w:val="0093511B"/>
    <w:rsid w:val="00936C32"/>
    <w:rsid w:val="00993373"/>
    <w:rsid w:val="009D33B1"/>
    <w:rsid w:val="009F076E"/>
    <w:rsid w:val="00A0349E"/>
    <w:rsid w:val="00A059F8"/>
    <w:rsid w:val="00A15CB1"/>
    <w:rsid w:val="00A171F1"/>
    <w:rsid w:val="00A933D0"/>
    <w:rsid w:val="00A960AF"/>
    <w:rsid w:val="00AC52D3"/>
    <w:rsid w:val="00AE29E8"/>
    <w:rsid w:val="00AF4891"/>
    <w:rsid w:val="00B05EA8"/>
    <w:rsid w:val="00B27C63"/>
    <w:rsid w:val="00B3667B"/>
    <w:rsid w:val="00B70A59"/>
    <w:rsid w:val="00B754F4"/>
    <w:rsid w:val="00B967EE"/>
    <w:rsid w:val="00BB4D24"/>
    <w:rsid w:val="00BC197A"/>
    <w:rsid w:val="00C7260F"/>
    <w:rsid w:val="00C82719"/>
    <w:rsid w:val="00C9021B"/>
    <w:rsid w:val="00CE143C"/>
    <w:rsid w:val="00D12014"/>
    <w:rsid w:val="00D679EE"/>
    <w:rsid w:val="00D76976"/>
    <w:rsid w:val="00D77F4F"/>
    <w:rsid w:val="00D84DA0"/>
    <w:rsid w:val="00D90291"/>
    <w:rsid w:val="00DA1B68"/>
    <w:rsid w:val="00DC1F61"/>
    <w:rsid w:val="00DD70C7"/>
    <w:rsid w:val="00E0293A"/>
    <w:rsid w:val="00E076A5"/>
    <w:rsid w:val="00E23AC8"/>
    <w:rsid w:val="00E85DCE"/>
    <w:rsid w:val="00F208A0"/>
    <w:rsid w:val="00F273C2"/>
    <w:rsid w:val="00F72642"/>
    <w:rsid w:val="00F82782"/>
    <w:rsid w:val="00FC71A3"/>
    <w:rsid w:val="00FF09EF"/>
    <w:rsid w:val="00FF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8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uiPriority w:val="99"/>
    <w:locked/>
    <w:rsid w:val="0050038D"/>
    <w:rPr>
      <w:rFonts w:ascii="Times New Roman" w:hAnsi="Times New Roman" w:cs="Times New Roman"/>
      <w:sz w:val="20"/>
      <w:szCs w:val="20"/>
      <w:u w:val="none"/>
    </w:rPr>
  </w:style>
  <w:style w:type="character" w:customStyle="1" w:styleId="a5">
    <w:name w:val="Основной текст Знак"/>
    <w:basedOn w:val="a0"/>
    <w:link w:val="a6"/>
    <w:uiPriority w:val="99"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customStyle="1" w:styleId="a7">
    <w:name w:val="Подпись к картинке_"/>
    <w:basedOn w:val="a0"/>
    <w:link w:val="a8"/>
    <w:uiPriority w:val="99"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50038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9">
    <w:name w:val="Другое_"/>
    <w:basedOn w:val="a0"/>
    <w:link w:val="aa"/>
    <w:uiPriority w:val="99"/>
    <w:locked/>
    <w:rsid w:val="0050038D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Колонтитул (2)_"/>
    <w:basedOn w:val="a0"/>
    <w:link w:val="20"/>
    <w:uiPriority w:val="99"/>
    <w:locked/>
    <w:rsid w:val="0050038D"/>
    <w:rPr>
      <w:rFonts w:ascii="Times New Roman" w:hAnsi="Times New Roman" w:cs="Times New Roman"/>
      <w:sz w:val="20"/>
      <w:szCs w:val="20"/>
      <w:u w:val="none"/>
    </w:rPr>
  </w:style>
  <w:style w:type="paragraph" w:customStyle="1" w:styleId="a4">
    <w:name w:val="Сноска"/>
    <w:basedOn w:val="a"/>
    <w:link w:val="a3"/>
    <w:uiPriority w:val="99"/>
    <w:rsid w:val="0050038D"/>
    <w:pPr>
      <w:shd w:val="clear" w:color="auto" w:fill="FFFFFF"/>
      <w:ind w:firstLine="580"/>
    </w:pPr>
    <w:rPr>
      <w:rFonts w:ascii="Times New Roman" w:hAnsi="Times New Roman" w:cs="Times New Roman"/>
      <w:sz w:val="20"/>
      <w:szCs w:val="20"/>
    </w:rPr>
  </w:style>
  <w:style w:type="paragraph" w:styleId="a6">
    <w:name w:val="Body Text"/>
    <w:basedOn w:val="a"/>
    <w:link w:val="a5"/>
    <w:uiPriority w:val="99"/>
    <w:rsid w:val="0050038D"/>
    <w:pPr>
      <w:shd w:val="clear" w:color="auto" w:fill="FFFFFF"/>
      <w:spacing w:line="259" w:lineRule="auto"/>
      <w:ind w:firstLine="400"/>
    </w:pPr>
    <w:rPr>
      <w:rFonts w:ascii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a0"/>
    <w:link w:val="a6"/>
    <w:uiPriority w:val="99"/>
    <w:semiHidden/>
    <w:locked/>
    <w:rsid w:val="00C7260F"/>
    <w:rPr>
      <w:color w:val="000000"/>
      <w:sz w:val="24"/>
      <w:szCs w:val="24"/>
    </w:rPr>
  </w:style>
  <w:style w:type="paragraph" w:customStyle="1" w:styleId="a8">
    <w:name w:val="Подпись к картинке"/>
    <w:basedOn w:val="a"/>
    <w:link w:val="a7"/>
    <w:uiPriority w:val="99"/>
    <w:rsid w:val="0050038D"/>
    <w:pPr>
      <w:shd w:val="clear" w:color="auto" w:fill="FFFFFF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50038D"/>
    <w:pPr>
      <w:shd w:val="clear" w:color="auto" w:fill="FFFFFF"/>
      <w:spacing w:after="30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a">
    <w:name w:val="Другое"/>
    <w:basedOn w:val="a"/>
    <w:link w:val="a9"/>
    <w:uiPriority w:val="99"/>
    <w:rsid w:val="0050038D"/>
    <w:pPr>
      <w:shd w:val="clear" w:color="auto" w:fill="FFFFFF"/>
      <w:spacing w:line="259" w:lineRule="auto"/>
      <w:ind w:firstLine="400"/>
    </w:pPr>
    <w:rPr>
      <w:rFonts w:ascii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uiPriority w:val="99"/>
    <w:rsid w:val="0050038D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062E37"/>
    <w:pPr>
      <w:widowControl/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ac">
    <w:name w:val="Hyperlink"/>
    <w:basedOn w:val="a0"/>
    <w:uiPriority w:val="99"/>
    <w:rsid w:val="00062E37"/>
    <w:rPr>
      <w:color w:val="0000FF"/>
      <w:u w:val="single"/>
    </w:rPr>
  </w:style>
  <w:style w:type="paragraph" w:customStyle="1" w:styleId="ad">
    <w:name w:val="Знак Знак Знак Знак"/>
    <w:basedOn w:val="a"/>
    <w:uiPriority w:val="99"/>
    <w:rsid w:val="00D12014"/>
    <w:pPr>
      <w:widowControl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11">
    <w:name w:val="Абзац списка1"/>
    <w:basedOn w:val="a"/>
    <w:uiPriority w:val="99"/>
    <w:rsid w:val="00D679EE"/>
    <w:pPr>
      <w:widowControl/>
      <w:ind w:left="72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ConsPlusNormal">
    <w:name w:val="ConsPlusNormal"/>
    <w:link w:val="ConsPlusNormal1"/>
    <w:uiPriority w:val="99"/>
    <w:rsid w:val="00D679EE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D679EE"/>
    <w:pPr>
      <w:autoSpaceDE w:val="0"/>
      <w:autoSpaceDN w:val="0"/>
      <w:adjustRightInd w:val="0"/>
      <w:spacing w:line="360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D679EE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D679EE"/>
    <w:rPr>
      <w:rFonts w:ascii="Arial" w:hAnsi="Arial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665F-771F-4A9B-81CF-FE33CFC9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ЖКХ3 пользователь</dc:creator>
  <cp:keywords/>
  <dc:description/>
  <cp:lastModifiedBy>ЖКХ3 пользователь</cp:lastModifiedBy>
  <cp:revision>65</cp:revision>
  <cp:lastPrinted>2025-10-01T04:13:00Z</cp:lastPrinted>
  <dcterms:created xsi:type="dcterms:W3CDTF">2021-10-29T08:23:00Z</dcterms:created>
  <dcterms:modified xsi:type="dcterms:W3CDTF">2025-10-01T04:13:00Z</dcterms:modified>
</cp:coreProperties>
</file>