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6B" w:rsidRPr="002163D7" w:rsidRDefault="0001446B" w:rsidP="0001446B">
      <w:pPr>
        <w:pStyle w:val="2"/>
        <w:ind w:left="4820"/>
        <w:rPr>
          <w:rFonts w:ascii="Times New Roman" w:hAnsi="Times New Roman"/>
          <w:sz w:val="28"/>
          <w:szCs w:val="28"/>
          <w:lang w:val="ru-RU"/>
        </w:rPr>
      </w:pPr>
      <w:r w:rsidRPr="002163D7">
        <w:rPr>
          <w:rFonts w:ascii="Times New Roman" w:hAnsi="Times New Roman"/>
          <w:sz w:val="28"/>
          <w:szCs w:val="28"/>
          <w:lang w:val="ru-RU"/>
        </w:rPr>
        <w:t>УТВЕРЖДЕНА</w:t>
      </w:r>
    </w:p>
    <w:p w:rsidR="0001446B" w:rsidRPr="002163D7" w:rsidRDefault="0001446B" w:rsidP="0001446B">
      <w:pPr>
        <w:ind w:left="4820"/>
        <w:jc w:val="center"/>
        <w:rPr>
          <w:sz w:val="28"/>
          <w:szCs w:val="28"/>
        </w:rPr>
      </w:pPr>
      <w:r w:rsidRPr="002163D7">
        <w:rPr>
          <w:sz w:val="28"/>
          <w:szCs w:val="28"/>
        </w:rPr>
        <w:t xml:space="preserve">приказом </w:t>
      </w:r>
      <w:r w:rsidR="00EB24D4">
        <w:rPr>
          <w:sz w:val="28"/>
          <w:szCs w:val="28"/>
        </w:rPr>
        <w:t>Финансового управления</w:t>
      </w:r>
    </w:p>
    <w:p w:rsidR="0001446B" w:rsidRPr="002163D7" w:rsidRDefault="00EB24D4" w:rsidP="0001446B">
      <w:pPr>
        <w:ind w:left="48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01446B" w:rsidRPr="002163D7" w:rsidRDefault="0001446B" w:rsidP="0001446B">
      <w:pPr>
        <w:ind w:left="4820"/>
        <w:jc w:val="center"/>
        <w:rPr>
          <w:snapToGrid w:val="0"/>
          <w:sz w:val="28"/>
          <w:szCs w:val="28"/>
        </w:rPr>
      </w:pPr>
      <w:r w:rsidRPr="002163D7">
        <w:rPr>
          <w:sz w:val="28"/>
          <w:szCs w:val="28"/>
        </w:rPr>
        <w:t xml:space="preserve">от </w:t>
      </w:r>
      <w:r w:rsidR="007D235F">
        <w:rPr>
          <w:sz w:val="28"/>
          <w:szCs w:val="28"/>
        </w:rPr>
        <w:t>28</w:t>
      </w:r>
      <w:r w:rsidR="008C2A2D" w:rsidRPr="007D235F">
        <w:rPr>
          <w:sz w:val="28"/>
          <w:szCs w:val="28"/>
        </w:rPr>
        <w:t>.08.</w:t>
      </w:r>
      <w:r w:rsidRPr="007D235F">
        <w:rPr>
          <w:sz w:val="28"/>
          <w:szCs w:val="28"/>
        </w:rPr>
        <w:t>202</w:t>
      </w:r>
      <w:r w:rsidR="007D235F" w:rsidRPr="007D235F">
        <w:rPr>
          <w:sz w:val="28"/>
          <w:szCs w:val="28"/>
        </w:rPr>
        <w:t>5</w:t>
      </w:r>
      <w:r w:rsidRPr="007D235F">
        <w:rPr>
          <w:sz w:val="28"/>
          <w:szCs w:val="28"/>
        </w:rPr>
        <w:t xml:space="preserve"> г. № </w:t>
      </w:r>
      <w:r w:rsidR="00C001CB" w:rsidRPr="007D235F">
        <w:rPr>
          <w:sz w:val="28"/>
          <w:szCs w:val="28"/>
        </w:rPr>
        <w:t>01-0</w:t>
      </w:r>
      <w:r w:rsidR="008C2A2D" w:rsidRPr="007D235F">
        <w:rPr>
          <w:sz w:val="28"/>
          <w:szCs w:val="28"/>
        </w:rPr>
        <w:t>6</w:t>
      </w:r>
      <w:r w:rsidR="00C001CB" w:rsidRPr="007D235F">
        <w:rPr>
          <w:sz w:val="28"/>
          <w:szCs w:val="28"/>
        </w:rPr>
        <w:t>/6</w:t>
      </w:r>
      <w:r w:rsidR="007D235F" w:rsidRPr="007D235F">
        <w:rPr>
          <w:sz w:val="28"/>
          <w:szCs w:val="28"/>
        </w:rPr>
        <w:t>6</w:t>
      </w:r>
    </w:p>
    <w:p w:rsidR="0001446B" w:rsidRPr="002163D7" w:rsidRDefault="0001446B" w:rsidP="0001446B">
      <w:pPr>
        <w:jc w:val="center"/>
        <w:outlineLvl w:val="0"/>
        <w:rPr>
          <w:b/>
          <w:sz w:val="28"/>
          <w:szCs w:val="28"/>
        </w:rPr>
      </w:pPr>
    </w:p>
    <w:p w:rsidR="0001446B" w:rsidRPr="002163D7" w:rsidRDefault="0001446B" w:rsidP="0001446B">
      <w:pPr>
        <w:jc w:val="center"/>
        <w:outlineLvl w:val="0"/>
        <w:rPr>
          <w:b/>
          <w:sz w:val="28"/>
          <w:szCs w:val="28"/>
        </w:rPr>
      </w:pPr>
    </w:p>
    <w:p w:rsidR="0001446B" w:rsidRPr="002163D7" w:rsidRDefault="0001446B" w:rsidP="0001446B">
      <w:pPr>
        <w:jc w:val="center"/>
        <w:outlineLvl w:val="0"/>
        <w:rPr>
          <w:sz w:val="28"/>
          <w:szCs w:val="28"/>
        </w:rPr>
      </w:pPr>
      <w:r w:rsidRPr="002163D7">
        <w:rPr>
          <w:sz w:val="28"/>
          <w:szCs w:val="28"/>
        </w:rPr>
        <w:t xml:space="preserve">Методика и порядок планирования бюджетных ассигнований </w:t>
      </w:r>
    </w:p>
    <w:p w:rsidR="0001446B" w:rsidRPr="002163D7" w:rsidRDefault="00471136" w:rsidP="0001446B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б</w:t>
      </w:r>
      <w:r w:rsidR="0001446B" w:rsidRPr="002163D7">
        <w:rPr>
          <w:sz w:val="28"/>
          <w:szCs w:val="28"/>
        </w:rPr>
        <w:t>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01446B" w:rsidRPr="002163D7">
        <w:rPr>
          <w:sz w:val="28"/>
          <w:szCs w:val="28"/>
        </w:rPr>
        <w:t xml:space="preserve"> на 20</w:t>
      </w:r>
      <w:r w:rsidR="00817F04">
        <w:rPr>
          <w:sz w:val="28"/>
          <w:szCs w:val="28"/>
        </w:rPr>
        <w:t>2</w:t>
      </w:r>
      <w:r w:rsidR="00CD0021">
        <w:rPr>
          <w:sz w:val="28"/>
          <w:szCs w:val="28"/>
        </w:rPr>
        <w:t>6</w:t>
      </w:r>
      <w:r w:rsidR="0001446B" w:rsidRPr="002163D7">
        <w:rPr>
          <w:sz w:val="28"/>
          <w:szCs w:val="28"/>
        </w:rPr>
        <w:t xml:space="preserve"> год и на плановый период 20</w:t>
      </w:r>
      <w:r w:rsidR="0001446B">
        <w:rPr>
          <w:sz w:val="28"/>
          <w:szCs w:val="28"/>
        </w:rPr>
        <w:t>2</w:t>
      </w:r>
      <w:r w:rsidR="00CD0021">
        <w:rPr>
          <w:sz w:val="28"/>
          <w:szCs w:val="28"/>
        </w:rPr>
        <w:t>7</w:t>
      </w:r>
      <w:r w:rsidR="0001446B" w:rsidRPr="002163D7">
        <w:rPr>
          <w:sz w:val="28"/>
          <w:szCs w:val="28"/>
        </w:rPr>
        <w:t xml:space="preserve"> и 202</w:t>
      </w:r>
      <w:r w:rsidR="00CD0021">
        <w:rPr>
          <w:sz w:val="28"/>
          <w:szCs w:val="28"/>
        </w:rPr>
        <w:t>8</w:t>
      </w:r>
      <w:r w:rsidR="0001446B" w:rsidRPr="002163D7">
        <w:rPr>
          <w:sz w:val="28"/>
          <w:szCs w:val="28"/>
        </w:rPr>
        <w:t xml:space="preserve"> годов </w:t>
      </w:r>
    </w:p>
    <w:p w:rsidR="0001446B" w:rsidRPr="002163D7" w:rsidRDefault="0001446B" w:rsidP="0001446B">
      <w:pPr>
        <w:jc w:val="center"/>
        <w:outlineLvl w:val="0"/>
        <w:rPr>
          <w:b/>
          <w:sz w:val="28"/>
          <w:szCs w:val="28"/>
        </w:rPr>
      </w:pPr>
    </w:p>
    <w:p w:rsidR="0001446B" w:rsidRDefault="0001446B" w:rsidP="0001446B">
      <w:pPr>
        <w:numPr>
          <w:ilvl w:val="0"/>
          <w:numId w:val="5"/>
        </w:numPr>
        <w:ind w:left="0" w:firstLine="0"/>
        <w:jc w:val="center"/>
        <w:outlineLvl w:val="0"/>
        <w:rPr>
          <w:sz w:val="28"/>
          <w:szCs w:val="28"/>
        </w:rPr>
      </w:pPr>
      <w:r w:rsidRPr="002163D7">
        <w:rPr>
          <w:sz w:val="28"/>
          <w:szCs w:val="28"/>
        </w:rPr>
        <w:t>Общие положения</w:t>
      </w:r>
    </w:p>
    <w:p w:rsidR="00861B29" w:rsidRDefault="00861B29" w:rsidP="00861B29">
      <w:pPr>
        <w:outlineLvl w:val="0"/>
        <w:rPr>
          <w:sz w:val="28"/>
          <w:szCs w:val="28"/>
        </w:rPr>
      </w:pPr>
    </w:p>
    <w:p w:rsidR="00861B29" w:rsidRPr="002163D7" w:rsidRDefault="00861B29" w:rsidP="00861B29">
      <w:pPr>
        <w:pStyle w:val="23"/>
        <w:numPr>
          <w:ilvl w:val="0"/>
          <w:numId w:val="3"/>
        </w:numPr>
        <w:tabs>
          <w:tab w:val="clear" w:pos="1260"/>
          <w:tab w:val="num" w:pos="1080"/>
        </w:tabs>
        <w:ind w:left="0" w:right="0" w:firstLine="720"/>
        <w:outlineLvl w:val="9"/>
      </w:pPr>
      <w:r w:rsidRPr="002163D7">
        <w:t>Методика и порядок планирования бюджетных ассигнований на</w:t>
      </w:r>
      <w:r>
        <w:br/>
      </w:r>
      <w:r w:rsidRPr="002163D7">
        <w:t>20</w:t>
      </w:r>
      <w:r>
        <w:t>2</w:t>
      </w:r>
      <w:r w:rsidR="00471136">
        <w:t>6</w:t>
      </w:r>
      <w:r w:rsidRPr="002163D7">
        <w:t xml:space="preserve"> год и на плановый период 20</w:t>
      </w:r>
      <w:r>
        <w:t>2</w:t>
      </w:r>
      <w:r w:rsidR="00471136">
        <w:t>7</w:t>
      </w:r>
      <w:r w:rsidRPr="002163D7">
        <w:t xml:space="preserve"> и 202</w:t>
      </w:r>
      <w:r w:rsidR="00471136">
        <w:t>8</w:t>
      </w:r>
      <w:r w:rsidRPr="002163D7">
        <w:t xml:space="preserve"> годов (далее именуется – Методика) разработана в соответствии со статьей 174.2 Бюджетного кодекса Российской Федерации, статьей </w:t>
      </w:r>
      <w:r w:rsidR="004808E8" w:rsidRPr="00AF5542">
        <w:rPr>
          <w:szCs w:val="28"/>
        </w:rPr>
        <w:t xml:space="preserve">19 Положения «О бюджетном процессе в </w:t>
      </w:r>
      <w:proofErr w:type="spellStart"/>
      <w:r w:rsidR="004808E8" w:rsidRPr="00AF5542">
        <w:rPr>
          <w:szCs w:val="28"/>
        </w:rPr>
        <w:t>Аргаяшском</w:t>
      </w:r>
      <w:proofErr w:type="spellEnd"/>
      <w:r w:rsidR="004808E8" w:rsidRPr="00AF5542">
        <w:rPr>
          <w:szCs w:val="28"/>
        </w:rPr>
        <w:t xml:space="preserve"> муниципальном районе Челябинской области»</w:t>
      </w:r>
      <w:r w:rsidRPr="002163D7">
        <w:t>.</w:t>
      </w:r>
    </w:p>
    <w:p w:rsidR="00861B29" w:rsidRPr="002163D7" w:rsidRDefault="00861B29" w:rsidP="00861B29">
      <w:pPr>
        <w:pStyle w:val="23"/>
        <w:numPr>
          <w:ilvl w:val="0"/>
          <w:numId w:val="3"/>
        </w:numPr>
        <w:tabs>
          <w:tab w:val="clear" w:pos="1260"/>
          <w:tab w:val="num" w:pos="0"/>
        </w:tabs>
        <w:ind w:left="0" w:right="0" w:firstLine="720"/>
        <w:outlineLvl w:val="9"/>
      </w:pPr>
      <w:r w:rsidRPr="002163D7">
        <w:t>В настоящей Методике используются следующие понятия:</w:t>
      </w:r>
    </w:p>
    <w:p w:rsidR="00861B29" w:rsidRPr="002163D7" w:rsidRDefault="00861B29" w:rsidP="00861B29">
      <w:pPr>
        <w:pStyle w:val="a7"/>
        <w:ind w:firstLine="720"/>
        <w:jc w:val="both"/>
        <w:rPr>
          <w:szCs w:val="28"/>
          <w:lang w:eastAsia="ru-RU"/>
        </w:rPr>
      </w:pPr>
      <w:proofErr w:type="gramStart"/>
      <w:r w:rsidRPr="002163D7">
        <w:rPr>
          <w:szCs w:val="28"/>
          <w:lang w:eastAsia="ru-RU"/>
        </w:rPr>
        <w:t xml:space="preserve">1) нормативный метод расчета бюджетных ассигнований – расчет объема бюджетных ассигнований на основе нормативов, утвержденных </w:t>
      </w:r>
      <w:r w:rsidRPr="002163D7">
        <w:rPr>
          <w:szCs w:val="28"/>
          <w:lang w:eastAsia="ru-RU"/>
        </w:rPr>
        <w:br/>
        <w:t xml:space="preserve">в соответствующих правовых актах, включая утвержденный в указанных  правовых актах порядок индексации соответствующих нормативов, а также </w:t>
      </w:r>
      <w:r w:rsidRPr="002163D7">
        <w:rPr>
          <w:snapToGrid w:val="0"/>
        </w:rPr>
        <w:t xml:space="preserve">нормативных затрат на финансовое обеспечение оказания </w:t>
      </w:r>
      <w:r w:rsidR="004808E8">
        <w:rPr>
          <w:snapToGrid w:val="0"/>
        </w:rPr>
        <w:t>муниципальных</w:t>
      </w:r>
      <w:r w:rsidRPr="002163D7">
        <w:rPr>
          <w:snapToGrid w:val="0"/>
        </w:rPr>
        <w:t xml:space="preserve"> услуг (работ), утверждаемых органами </w:t>
      </w:r>
      <w:r w:rsidR="008B47DA">
        <w:rPr>
          <w:snapToGrid w:val="0"/>
        </w:rPr>
        <w:t>местного самоуправления</w:t>
      </w:r>
      <w:r w:rsidRPr="002163D7">
        <w:rPr>
          <w:snapToGrid w:val="0"/>
        </w:rPr>
        <w:t xml:space="preserve">, осуществляющими функции и полномочия учредителей </w:t>
      </w:r>
      <w:r w:rsidR="00814CAF">
        <w:rPr>
          <w:snapToGrid w:val="0"/>
        </w:rPr>
        <w:t>муниципаль</w:t>
      </w:r>
      <w:r w:rsidRPr="002163D7">
        <w:rPr>
          <w:snapToGrid w:val="0"/>
        </w:rPr>
        <w:t>ных учреждений</w:t>
      </w:r>
      <w:r w:rsidR="009C7D29">
        <w:rPr>
          <w:snapToGrid w:val="0"/>
        </w:rPr>
        <w:t xml:space="preserve"> округа</w:t>
      </w:r>
      <w:r w:rsidRPr="002163D7">
        <w:rPr>
          <w:snapToGrid w:val="0"/>
        </w:rPr>
        <w:t xml:space="preserve">, с соблюдением общих требований, </w:t>
      </w:r>
      <w:r w:rsidRPr="002163D7">
        <w:t>определенных федеральными органами исполнительной власти</w:t>
      </w:r>
      <w:proofErr w:type="gramEnd"/>
      <w:r w:rsidRPr="002163D7">
        <w:t>, осуществляющими функции по выработке государственной политики и нормативно-правовому регулированию в установленной сфере деятельности</w:t>
      </w:r>
      <w:r w:rsidRPr="002163D7">
        <w:rPr>
          <w:szCs w:val="28"/>
          <w:lang w:eastAsia="ru-RU"/>
        </w:rPr>
        <w:t>;</w:t>
      </w:r>
    </w:p>
    <w:p w:rsidR="00861B29" w:rsidRPr="002163D7" w:rsidRDefault="00861B29" w:rsidP="00861B29">
      <w:pPr>
        <w:pStyle w:val="a7"/>
        <w:ind w:firstLine="720"/>
        <w:jc w:val="both"/>
        <w:rPr>
          <w:szCs w:val="28"/>
          <w:lang w:eastAsia="ru-RU"/>
        </w:rPr>
      </w:pPr>
      <w:r w:rsidRPr="002163D7">
        <w:rPr>
          <w:szCs w:val="28"/>
          <w:lang w:eastAsia="ru-RU"/>
        </w:rPr>
        <w:t>2) учетный метод (индексация) расчета бюджетных ассигнований – расчет объема бюджетных ассигнований путем индексации объема бюджетных ассигнований текущего года на уровень инфляции или иной коэффициент в соответствии с настоящей Методикой;</w:t>
      </w:r>
    </w:p>
    <w:p w:rsidR="00861B29" w:rsidRDefault="00861B29" w:rsidP="00861B29">
      <w:pPr>
        <w:pStyle w:val="a7"/>
        <w:ind w:firstLine="709"/>
        <w:jc w:val="both"/>
        <w:rPr>
          <w:szCs w:val="28"/>
          <w:lang w:eastAsia="ru-RU"/>
        </w:rPr>
      </w:pPr>
      <w:r w:rsidRPr="002163D7">
        <w:rPr>
          <w:szCs w:val="28"/>
          <w:lang w:eastAsia="ru-RU"/>
        </w:rPr>
        <w:t xml:space="preserve">3) плановый метод расчета бюджетных ассигнований – установление объема бюджетных ассигнований в соответствии с показателями, указанными в нормативном правовом акте, договоре, соглашении. В части бюджетных ассигнований, предусмотренных за счет межбюджетных трансфертов из </w:t>
      </w:r>
      <w:r w:rsidR="008B47DA">
        <w:rPr>
          <w:szCs w:val="28"/>
          <w:lang w:eastAsia="ru-RU"/>
        </w:rPr>
        <w:t>областного</w:t>
      </w:r>
      <w:r w:rsidRPr="002163D7">
        <w:rPr>
          <w:szCs w:val="28"/>
          <w:lang w:eastAsia="ru-RU"/>
        </w:rPr>
        <w:t xml:space="preserve"> бюджета – в проекте закона «О</w:t>
      </w:r>
      <w:r w:rsidR="008B47DA">
        <w:rPr>
          <w:szCs w:val="28"/>
          <w:lang w:eastAsia="ru-RU"/>
        </w:rPr>
        <w:t>б областном</w:t>
      </w:r>
      <w:r w:rsidRPr="002163D7">
        <w:rPr>
          <w:szCs w:val="28"/>
          <w:lang w:eastAsia="ru-RU"/>
        </w:rPr>
        <w:t xml:space="preserve"> бюджете на 20</w:t>
      </w:r>
      <w:r>
        <w:rPr>
          <w:szCs w:val="28"/>
          <w:lang w:eastAsia="ru-RU"/>
        </w:rPr>
        <w:t>2</w:t>
      </w:r>
      <w:r w:rsidR="00471136">
        <w:rPr>
          <w:szCs w:val="28"/>
          <w:lang w:eastAsia="ru-RU"/>
        </w:rPr>
        <w:t>6</w:t>
      </w:r>
      <w:r w:rsidRPr="002163D7">
        <w:rPr>
          <w:szCs w:val="28"/>
          <w:lang w:eastAsia="ru-RU"/>
        </w:rPr>
        <w:t xml:space="preserve"> год и на плановый период 20</w:t>
      </w:r>
      <w:r>
        <w:rPr>
          <w:szCs w:val="28"/>
          <w:lang w:eastAsia="ru-RU"/>
        </w:rPr>
        <w:t>2</w:t>
      </w:r>
      <w:r w:rsidR="00471136">
        <w:rPr>
          <w:szCs w:val="28"/>
          <w:lang w:eastAsia="ru-RU"/>
        </w:rPr>
        <w:t>7</w:t>
      </w:r>
      <w:r w:rsidRPr="002163D7">
        <w:rPr>
          <w:szCs w:val="28"/>
          <w:lang w:eastAsia="ru-RU"/>
        </w:rPr>
        <w:t xml:space="preserve"> и 202</w:t>
      </w:r>
      <w:r w:rsidR="00471136">
        <w:rPr>
          <w:szCs w:val="28"/>
          <w:lang w:eastAsia="ru-RU"/>
        </w:rPr>
        <w:t>8</w:t>
      </w:r>
      <w:r w:rsidRPr="002163D7">
        <w:rPr>
          <w:szCs w:val="28"/>
          <w:lang w:eastAsia="ru-RU"/>
        </w:rPr>
        <w:t xml:space="preserve"> годов»;</w:t>
      </w:r>
    </w:p>
    <w:p w:rsidR="00861B29" w:rsidRDefault="00861B29" w:rsidP="00861B29">
      <w:pPr>
        <w:pStyle w:val="a7"/>
        <w:ind w:firstLine="709"/>
        <w:jc w:val="both"/>
        <w:rPr>
          <w:szCs w:val="28"/>
          <w:lang w:eastAsia="ru-RU"/>
        </w:rPr>
      </w:pPr>
      <w:r w:rsidRPr="002163D7">
        <w:rPr>
          <w:szCs w:val="28"/>
          <w:lang w:eastAsia="ru-RU"/>
        </w:rPr>
        <w:t xml:space="preserve">4) метод натуральных показателей расчета бюджетных ассигнований – расчет объема бюджетных ассигнований на основе прогнозируемого потребления товаров (работ, услуг) для </w:t>
      </w:r>
      <w:r w:rsidR="008B47DA">
        <w:rPr>
          <w:szCs w:val="28"/>
          <w:lang w:eastAsia="ru-RU"/>
        </w:rPr>
        <w:t>муниципальных</w:t>
      </w:r>
      <w:r w:rsidRPr="002163D7">
        <w:rPr>
          <w:szCs w:val="28"/>
          <w:lang w:eastAsia="ru-RU"/>
        </w:rPr>
        <w:t xml:space="preserve"> нужд в натуральных величинах и стоимости соответствующих товаров (работ, услуг);</w:t>
      </w:r>
    </w:p>
    <w:p w:rsidR="00861B29" w:rsidRDefault="00861B29" w:rsidP="00861B29">
      <w:pPr>
        <w:pStyle w:val="a7"/>
        <w:ind w:firstLine="709"/>
        <w:jc w:val="both"/>
        <w:rPr>
          <w:szCs w:val="28"/>
          <w:lang w:eastAsia="ru-RU"/>
        </w:rPr>
      </w:pPr>
      <w:r w:rsidRPr="002163D7">
        <w:rPr>
          <w:szCs w:val="28"/>
          <w:lang w:eastAsia="ru-RU"/>
        </w:rPr>
        <w:t>5) иной метод расчета бюджетного ассигнования – расчет объема бюджетного ассигнования методом, отличным от нормативного метода, учетного, планового, метода натуральных показателей;</w:t>
      </w:r>
    </w:p>
    <w:p w:rsidR="00861B29" w:rsidRDefault="00861B29" w:rsidP="00861B29">
      <w:pPr>
        <w:pStyle w:val="a7"/>
        <w:ind w:firstLine="709"/>
        <w:jc w:val="both"/>
        <w:rPr>
          <w:snapToGrid w:val="0"/>
        </w:rPr>
      </w:pPr>
      <w:r w:rsidRPr="004256F9">
        <w:rPr>
          <w:szCs w:val="28"/>
          <w:lang w:eastAsia="ru-RU"/>
        </w:rPr>
        <w:lastRenderedPageBreak/>
        <w:t xml:space="preserve">6) </w:t>
      </w:r>
      <w:r w:rsidR="00D642A9" w:rsidRPr="007A60BD">
        <w:rPr>
          <w:szCs w:val="28"/>
          <w:lang w:eastAsia="ru-RU"/>
        </w:rPr>
        <w:t xml:space="preserve">возвратное распределение </w:t>
      </w:r>
      <w:r w:rsidR="00D642A9" w:rsidRPr="007A60BD">
        <w:rPr>
          <w:szCs w:val="28"/>
        </w:rPr>
        <w:t>предельных объемов бюджетных ассигнований –</w:t>
      </w:r>
      <w:r w:rsidR="00D642A9">
        <w:rPr>
          <w:szCs w:val="28"/>
        </w:rPr>
        <w:t xml:space="preserve"> </w:t>
      </w:r>
      <w:r w:rsidR="00D642A9" w:rsidRPr="007A60BD">
        <w:rPr>
          <w:szCs w:val="28"/>
        </w:rPr>
        <w:t xml:space="preserve">согласованное главными распорядителями </w:t>
      </w:r>
      <w:r w:rsidR="00D642A9" w:rsidRPr="007A60BD">
        <w:rPr>
          <w:snapToGrid w:val="0"/>
        </w:rPr>
        <w:t xml:space="preserve"> </w:t>
      </w:r>
      <w:r w:rsidR="00D642A9">
        <w:rPr>
          <w:snapToGrid w:val="0"/>
        </w:rPr>
        <w:t>средств бюджета</w:t>
      </w:r>
      <w:r w:rsidR="009C7D29">
        <w:rPr>
          <w:snapToGrid w:val="0"/>
        </w:rPr>
        <w:t xml:space="preserve"> округа</w:t>
      </w:r>
      <w:r w:rsidR="00D642A9">
        <w:rPr>
          <w:snapToGrid w:val="0"/>
        </w:rPr>
        <w:t xml:space="preserve"> </w:t>
      </w:r>
      <w:r w:rsidR="00D642A9" w:rsidRPr="007A60BD">
        <w:rPr>
          <w:snapToGrid w:val="0"/>
        </w:rPr>
        <w:t>распределение (перераспределение) проектировок бюджетных ассигнований</w:t>
      </w:r>
      <w:r w:rsidR="00D642A9">
        <w:rPr>
          <w:snapToGrid w:val="0"/>
        </w:rPr>
        <w:t>, доведенных Финансовым управлением</w:t>
      </w:r>
      <w:r w:rsidR="00D642A9" w:rsidRPr="00E25699">
        <w:rPr>
          <w:szCs w:val="28"/>
          <w:lang w:eastAsia="ru-RU"/>
        </w:rPr>
        <w:t xml:space="preserve"> </w:t>
      </w:r>
      <w:proofErr w:type="spellStart"/>
      <w:r w:rsidR="00D642A9" w:rsidRPr="00C35AC3">
        <w:rPr>
          <w:szCs w:val="28"/>
          <w:lang w:eastAsia="ru-RU"/>
        </w:rPr>
        <w:t>Аргаяшского</w:t>
      </w:r>
      <w:proofErr w:type="spellEnd"/>
      <w:r w:rsidR="00D642A9" w:rsidRPr="00C35AC3">
        <w:rPr>
          <w:szCs w:val="28"/>
          <w:lang w:eastAsia="ru-RU"/>
        </w:rPr>
        <w:t xml:space="preserve"> муниципального </w:t>
      </w:r>
      <w:r w:rsidR="009C7D29">
        <w:rPr>
          <w:szCs w:val="28"/>
          <w:lang w:eastAsia="ru-RU"/>
        </w:rPr>
        <w:t>округа</w:t>
      </w:r>
      <w:r w:rsidR="00D642A9">
        <w:rPr>
          <w:snapToGrid w:val="0"/>
        </w:rPr>
        <w:t xml:space="preserve"> (далее именуется – Финансовое управление) и дополнительно выделенных в соответствии с решениями Бюджетной комиссии, </w:t>
      </w:r>
      <w:r w:rsidR="00D642A9" w:rsidRPr="007A60BD">
        <w:rPr>
          <w:snapToGrid w:val="0"/>
        </w:rPr>
        <w:t xml:space="preserve"> по кодам классификации расходов бюджетов</w:t>
      </w:r>
      <w:r w:rsidR="00D642A9">
        <w:rPr>
          <w:snapToGrid w:val="0"/>
        </w:rPr>
        <w:t>;</w:t>
      </w:r>
    </w:p>
    <w:p w:rsidR="002A2FC4" w:rsidRDefault="00861B29" w:rsidP="002A2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1531E">
        <w:rPr>
          <w:sz w:val="28"/>
          <w:szCs w:val="28"/>
        </w:rPr>
        <w:t xml:space="preserve">7) </w:t>
      </w:r>
      <w:r w:rsidR="002A2FC4">
        <w:rPr>
          <w:sz w:val="28"/>
          <w:szCs w:val="28"/>
        </w:rPr>
        <w:t>национальный проект – проект (программа), направленный на достижение национальных целей развития Российской Федерации и их целевых показателей, определенных</w:t>
      </w:r>
      <w:r w:rsidR="002A2FC4" w:rsidRPr="00D34313">
        <w:rPr>
          <w:sz w:val="28"/>
          <w:szCs w:val="28"/>
        </w:rPr>
        <w:t xml:space="preserve"> </w:t>
      </w:r>
      <w:r w:rsidR="002A2FC4" w:rsidRPr="00D1531E">
        <w:rPr>
          <w:sz w:val="28"/>
          <w:szCs w:val="28"/>
        </w:rPr>
        <w:t>Указ</w:t>
      </w:r>
      <w:r w:rsidR="002A2FC4">
        <w:rPr>
          <w:sz w:val="28"/>
          <w:szCs w:val="28"/>
        </w:rPr>
        <w:t>ом</w:t>
      </w:r>
      <w:r w:rsidR="002A2FC4" w:rsidRPr="00D1531E">
        <w:rPr>
          <w:sz w:val="28"/>
          <w:szCs w:val="28"/>
        </w:rPr>
        <w:t xml:space="preserve"> Пре</w:t>
      </w:r>
      <w:r w:rsidR="002A2FC4">
        <w:rPr>
          <w:sz w:val="28"/>
          <w:szCs w:val="28"/>
        </w:rPr>
        <w:t>зидента Российской Федерации от </w:t>
      </w:r>
      <w:r w:rsidR="002A2FC4" w:rsidRPr="00D1531E">
        <w:rPr>
          <w:sz w:val="28"/>
          <w:szCs w:val="28"/>
        </w:rPr>
        <w:t>07.05.20</w:t>
      </w:r>
      <w:r w:rsidR="002A2FC4">
        <w:rPr>
          <w:sz w:val="28"/>
          <w:szCs w:val="28"/>
        </w:rPr>
        <w:t>24</w:t>
      </w:r>
      <w:r w:rsidR="002A2FC4" w:rsidRPr="00D1531E">
        <w:rPr>
          <w:sz w:val="28"/>
          <w:szCs w:val="28"/>
        </w:rPr>
        <w:t xml:space="preserve"> г. № </w:t>
      </w:r>
      <w:r w:rsidR="002A2FC4">
        <w:rPr>
          <w:sz w:val="28"/>
          <w:szCs w:val="28"/>
        </w:rPr>
        <w:t>309</w:t>
      </w:r>
      <w:r w:rsidR="002A2FC4" w:rsidRPr="00D1531E">
        <w:rPr>
          <w:sz w:val="28"/>
          <w:szCs w:val="28"/>
        </w:rPr>
        <w:t xml:space="preserve"> «О национальных целях развития Российской Федерации на период до 20</w:t>
      </w:r>
      <w:r w:rsidR="002A2FC4">
        <w:rPr>
          <w:sz w:val="28"/>
          <w:szCs w:val="28"/>
        </w:rPr>
        <w:t>30</w:t>
      </w:r>
      <w:r w:rsidR="002A2FC4" w:rsidRPr="00D1531E">
        <w:rPr>
          <w:sz w:val="28"/>
          <w:szCs w:val="28"/>
        </w:rPr>
        <w:t xml:space="preserve"> года</w:t>
      </w:r>
      <w:r w:rsidR="002A2FC4">
        <w:rPr>
          <w:sz w:val="28"/>
          <w:szCs w:val="28"/>
        </w:rPr>
        <w:t xml:space="preserve"> и на перспективу до 2036 года» </w:t>
      </w:r>
      <w:r w:rsidR="002A2FC4" w:rsidRPr="00D1531E">
        <w:rPr>
          <w:sz w:val="28"/>
          <w:szCs w:val="28"/>
        </w:rPr>
        <w:t>(далее имену</w:t>
      </w:r>
      <w:r w:rsidR="002A2FC4">
        <w:rPr>
          <w:sz w:val="28"/>
          <w:szCs w:val="28"/>
        </w:rPr>
        <w:t>е</w:t>
      </w:r>
      <w:r w:rsidR="002A2FC4" w:rsidRPr="00D1531E">
        <w:rPr>
          <w:sz w:val="28"/>
          <w:szCs w:val="28"/>
        </w:rPr>
        <w:t xml:space="preserve">тся – Указ № </w:t>
      </w:r>
      <w:r w:rsidR="002A2FC4">
        <w:rPr>
          <w:sz w:val="28"/>
          <w:szCs w:val="28"/>
        </w:rPr>
        <w:t>309</w:t>
      </w:r>
      <w:r w:rsidR="002A2FC4" w:rsidRPr="00D1531E">
        <w:rPr>
          <w:sz w:val="28"/>
          <w:szCs w:val="28"/>
        </w:rPr>
        <w:t>)</w:t>
      </w:r>
      <w:r w:rsidR="002A2FC4">
        <w:rPr>
          <w:sz w:val="28"/>
          <w:szCs w:val="28"/>
        </w:rPr>
        <w:t xml:space="preserve">, </w:t>
      </w:r>
      <w:r w:rsidR="002A2FC4" w:rsidRPr="00D34313">
        <w:rPr>
          <w:sz w:val="28"/>
          <w:szCs w:val="28"/>
        </w:rPr>
        <w:t>иных общественно значимых результатов и их показателей, а также задач, не являющихся общественно</w:t>
      </w:r>
      <w:proofErr w:type="gramEnd"/>
      <w:r w:rsidR="002A2FC4" w:rsidRPr="00D34313">
        <w:rPr>
          <w:sz w:val="28"/>
          <w:szCs w:val="28"/>
        </w:rPr>
        <w:t xml:space="preserve"> значимыми результатами, и их показателей по поручению и (или) указанию Президента Российской Федерации, поручению Правительства Российской Федерации, </w:t>
      </w:r>
      <w:r w:rsidR="002A2FC4" w:rsidRPr="00FF6A21">
        <w:rPr>
          <w:sz w:val="28"/>
          <w:szCs w:val="28"/>
        </w:rPr>
        <w:t>Председателя Правительства Российской Федерации, решению Совета при Президенте Российской Федерации по стратегическому развитию и национальным проектам, президиума</w:t>
      </w:r>
      <w:r w:rsidR="002A2FC4">
        <w:rPr>
          <w:sz w:val="28"/>
          <w:szCs w:val="28"/>
        </w:rPr>
        <w:t xml:space="preserve"> соответствующего</w:t>
      </w:r>
      <w:r w:rsidR="002A2FC4" w:rsidRPr="00FF6A21">
        <w:rPr>
          <w:sz w:val="28"/>
          <w:szCs w:val="28"/>
        </w:rPr>
        <w:t xml:space="preserve"> Совета</w:t>
      </w:r>
      <w:r w:rsidR="002A2FC4">
        <w:rPr>
          <w:sz w:val="28"/>
          <w:szCs w:val="28"/>
        </w:rPr>
        <w:t>;</w:t>
      </w:r>
    </w:p>
    <w:p w:rsidR="002A2FC4" w:rsidRPr="00A15EA2" w:rsidRDefault="002A2FC4" w:rsidP="002A2F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8) </w:t>
      </w:r>
      <w:r w:rsidRPr="00D1531E">
        <w:rPr>
          <w:sz w:val="28"/>
          <w:szCs w:val="28"/>
        </w:rPr>
        <w:t xml:space="preserve">региональный проект - проект, обеспечивающий достижение </w:t>
      </w:r>
      <w:r>
        <w:rPr>
          <w:sz w:val="28"/>
          <w:szCs w:val="28"/>
        </w:rPr>
        <w:t xml:space="preserve">и (или) вклад в достижение целей и (или) </w:t>
      </w:r>
      <w:r w:rsidRPr="00D1531E">
        <w:rPr>
          <w:sz w:val="28"/>
          <w:szCs w:val="28"/>
        </w:rPr>
        <w:t>показателей и</w:t>
      </w:r>
      <w:r>
        <w:rPr>
          <w:sz w:val="28"/>
          <w:szCs w:val="28"/>
        </w:rPr>
        <w:t xml:space="preserve"> реализацию мероприятий</w:t>
      </w:r>
      <w:r w:rsidRPr="00D1531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D1531E">
        <w:rPr>
          <w:sz w:val="28"/>
          <w:szCs w:val="28"/>
        </w:rPr>
        <w:t>результатов</w:t>
      </w:r>
      <w:r>
        <w:rPr>
          <w:sz w:val="28"/>
          <w:szCs w:val="28"/>
        </w:rPr>
        <w:t>)</w:t>
      </w:r>
      <w:r w:rsidRPr="00D1531E">
        <w:rPr>
          <w:sz w:val="28"/>
          <w:szCs w:val="28"/>
        </w:rPr>
        <w:t xml:space="preserve"> федерального проекта</w:t>
      </w:r>
      <w:r>
        <w:rPr>
          <w:sz w:val="28"/>
          <w:szCs w:val="28"/>
        </w:rPr>
        <w:t xml:space="preserve">, </w:t>
      </w:r>
      <w:r w:rsidRPr="005B734F">
        <w:rPr>
          <w:sz w:val="28"/>
          <w:szCs w:val="28"/>
        </w:rPr>
        <w:t>входящ</w:t>
      </w:r>
      <w:r>
        <w:rPr>
          <w:sz w:val="28"/>
          <w:szCs w:val="28"/>
        </w:rPr>
        <w:t>его</w:t>
      </w:r>
      <w:r w:rsidRPr="005B734F">
        <w:rPr>
          <w:sz w:val="28"/>
          <w:szCs w:val="28"/>
        </w:rPr>
        <w:t xml:space="preserve"> в состав национального проекта</w:t>
      </w:r>
      <w:r>
        <w:rPr>
          <w:sz w:val="28"/>
          <w:szCs w:val="28"/>
        </w:rPr>
        <w:t xml:space="preserve"> и (или) структурных элементов государственной программы Российской Федерации, и (или) муниципальной </w:t>
      </w:r>
      <w:r w:rsidRPr="002A2FC4">
        <w:rPr>
          <w:sz w:val="28"/>
          <w:szCs w:val="28"/>
        </w:rPr>
        <w:t xml:space="preserve">программы </w:t>
      </w:r>
      <w:proofErr w:type="spellStart"/>
      <w:r w:rsidRPr="002A2FC4">
        <w:rPr>
          <w:sz w:val="28"/>
          <w:szCs w:val="28"/>
        </w:rPr>
        <w:t>Аргаяшского</w:t>
      </w:r>
      <w:proofErr w:type="spellEnd"/>
      <w:r w:rsidRPr="002A2FC4">
        <w:rPr>
          <w:sz w:val="28"/>
          <w:szCs w:val="28"/>
        </w:rPr>
        <w:t xml:space="preserve"> муниципального округа</w:t>
      </w:r>
      <w:r w:rsidRPr="00A15EA2">
        <w:rPr>
          <w:sz w:val="28"/>
          <w:szCs w:val="28"/>
        </w:rPr>
        <w:t>;</w:t>
      </w:r>
      <w:proofErr w:type="gramEnd"/>
    </w:p>
    <w:p w:rsidR="004C2D21" w:rsidRPr="00A15EA2" w:rsidRDefault="004C2D21" w:rsidP="004C2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15EA2">
        <w:rPr>
          <w:sz w:val="28"/>
          <w:szCs w:val="28"/>
        </w:rPr>
        <w:t xml:space="preserve">) проектная часть </w:t>
      </w:r>
      <w:r>
        <w:rPr>
          <w:sz w:val="28"/>
          <w:szCs w:val="28"/>
        </w:rPr>
        <w:t xml:space="preserve">муниципальной </w:t>
      </w:r>
      <w:r w:rsidRPr="002A2FC4">
        <w:rPr>
          <w:sz w:val="28"/>
          <w:szCs w:val="28"/>
        </w:rPr>
        <w:t xml:space="preserve">программы </w:t>
      </w:r>
      <w:proofErr w:type="spellStart"/>
      <w:r w:rsidRPr="002A2FC4">
        <w:rPr>
          <w:sz w:val="28"/>
          <w:szCs w:val="28"/>
        </w:rPr>
        <w:t>Аргаяшского</w:t>
      </w:r>
      <w:proofErr w:type="spellEnd"/>
      <w:r w:rsidRPr="002A2FC4">
        <w:rPr>
          <w:sz w:val="28"/>
          <w:szCs w:val="28"/>
        </w:rPr>
        <w:t xml:space="preserve"> муниципального округа</w:t>
      </w:r>
      <w:r w:rsidRPr="00A15EA2">
        <w:rPr>
          <w:sz w:val="28"/>
          <w:szCs w:val="28"/>
        </w:rPr>
        <w:t xml:space="preserve"> – совокупность региональных и </w:t>
      </w:r>
      <w:r>
        <w:rPr>
          <w:sz w:val="28"/>
          <w:szCs w:val="28"/>
        </w:rPr>
        <w:t>ведомственных</w:t>
      </w:r>
      <w:r w:rsidRPr="00A15EA2">
        <w:rPr>
          <w:sz w:val="28"/>
          <w:szCs w:val="28"/>
        </w:rPr>
        <w:t xml:space="preserve"> проектов, включенных в её состав;</w:t>
      </w:r>
    </w:p>
    <w:p w:rsidR="004C2D21" w:rsidRPr="00A15EA2" w:rsidRDefault="004C2D21" w:rsidP="004C2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EA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A15EA2">
        <w:rPr>
          <w:sz w:val="28"/>
          <w:szCs w:val="28"/>
        </w:rPr>
        <w:t xml:space="preserve">) комплекс процессных мероприятий – группа скоординированных направлений расходов, имеющих общую целевую направленность на выполнение функций и решение текущих задач (является структурным элементом </w:t>
      </w:r>
      <w:r>
        <w:rPr>
          <w:sz w:val="28"/>
          <w:szCs w:val="28"/>
        </w:rPr>
        <w:t xml:space="preserve">муниципальной </w:t>
      </w:r>
      <w:r w:rsidRPr="002A2FC4">
        <w:rPr>
          <w:sz w:val="28"/>
          <w:szCs w:val="28"/>
        </w:rPr>
        <w:t xml:space="preserve">программы </w:t>
      </w:r>
      <w:proofErr w:type="spellStart"/>
      <w:r w:rsidRPr="002A2FC4">
        <w:rPr>
          <w:sz w:val="28"/>
          <w:szCs w:val="28"/>
        </w:rPr>
        <w:t>Аргаяшского</w:t>
      </w:r>
      <w:proofErr w:type="spellEnd"/>
      <w:r w:rsidRPr="002A2FC4">
        <w:rPr>
          <w:sz w:val="28"/>
          <w:szCs w:val="28"/>
        </w:rPr>
        <w:t xml:space="preserve"> муниципального округа</w:t>
      </w:r>
      <w:r w:rsidRPr="00A15EA2">
        <w:rPr>
          <w:sz w:val="28"/>
          <w:szCs w:val="28"/>
        </w:rPr>
        <w:t>);</w:t>
      </w:r>
    </w:p>
    <w:p w:rsidR="004C2D21" w:rsidRPr="00A15EA2" w:rsidRDefault="004C2D21" w:rsidP="004C2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5EA2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A15EA2">
        <w:rPr>
          <w:sz w:val="28"/>
          <w:szCs w:val="28"/>
        </w:rPr>
        <w:t xml:space="preserve">) процессная часть </w:t>
      </w:r>
      <w:r>
        <w:rPr>
          <w:sz w:val="28"/>
          <w:szCs w:val="28"/>
        </w:rPr>
        <w:t xml:space="preserve">муниципальной </w:t>
      </w:r>
      <w:r w:rsidRPr="002A2FC4">
        <w:rPr>
          <w:sz w:val="28"/>
          <w:szCs w:val="28"/>
        </w:rPr>
        <w:t xml:space="preserve">программы </w:t>
      </w:r>
      <w:proofErr w:type="spellStart"/>
      <w:r w:rsidRPr="002A2FC4">
        <w:rPr>
          <w:sz w:val="28"/>
          <w:szCs w:val="28"/>
        </w:rPr>
        <w:t>Аргаяшского</w:t>
      </w:r>
      <w:proofErr w:type="spellEnd"/>
      <w:r w:rsidRPr="002A2FC4">
        <w:rPr>
          <w:sz w:val="28"/>
          <w:szCs w:val="28"/>
        </w:rPr>
        <w:t xml:space="preserve"> муниципального округа</w:t>
      </w:r>
      <w:r w:rsidRPr="00A15EA2">
        <w:rPr>
          <w:sz w:val="28"/>
          <w:szCs w:val="28"/>
        </w:rPr>
        <w:t xml:space="preserve"> – совокупность комплексов процессных мероприятий, включенных в её состав;</w:t>
      </w:r>
    </w:p>
    <w:p w:rsidR="00861B29" w:rsidRDefault="004C2D21" w:rsidP="00861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61B29" w:rsidRPr="007A45E5">
        <w:rPr>
          <w:sz w:val="28"/>
          <w:szCs w:val="28"/>
        </w:rPr>
        <w:t xml:space="preserve">) </w:t>
      </w:r>
      <w:proofErr w:type="spellStart"/>
      <w:r w:rsidR="00861B29" w:rsidRPr="007A45E5">
        <w:rPr>
          <w:sz w:val="28"/>
          <w:szCs w:val="28"/>
        </w:rPr>
        <w:t>непрограммные</w:t>
      </w:r>
      <w:proofErr w:type="spellEnd"/>
      <w:r w:rsidR="00861B29" w:rsidRPr="007A45E5">
        <w:rPr>
          <w:sz w:val="28"/>
          <w:szCs w:val="28"/>
        </w:rPr>
        <w:t xml:space="preserve"> направления деятельности – совокупность направлений расходов, формируемых и реализуемых вне рамок </w:t>
      </w:r>
      <w:r w:rsidR="007A45E5" w:rsidRPr="007A45E5">
        <w:rPr>
          <w:sz w:val="28"/>
          <w:szCs w:val="28"/>
        </w:rPr>
        <w:t>муниципаль</w:t>
      </w:r>
      <w:r w:rsidR="00861B29" w:rsidRPr="007A45E5">
        <w:rPr>
          <w:sz w:val="28"/>
          <w:szCs w:val="28"/>
        </w:rPr>
        <w:t xml:space="preserve">ных программ </w:t>
      </w:r>
      <w:proofErr w:type="spellStart"/>
      <w:r w:rsidR="007A45E5" w:rsidRPr="007A45E5">
        <w:rPr>
          <w:sz w:val="28"/>
          <w:szCs w:val="28"/>
        </w:rPr>
        <w:t>Аргаяшского</w:t>
      </w:r>
      <w:proofErr w:type="spellEnd"/>
      <w:r w:rsidR="007A45E5" w:rsidRPr="007A45E5">
        <w:rPr>
          <w:sz w:val="28"/>
          <w:szCs w:val="28"/>
        </w:rPr>
        <w:t xml:space="preserve"> муниципального </w:t>
      </w:r>
      <w:r w:rsidR="009C7D29">
        <w:rPr>
          <w:sz w:val="28"/>
          <w:szCs w:val="28"/>
        </w:rPr>
        <w:t>округа</w:t>
      </w:r>
      <w:r w:rsidR="00861B29" w:rsidRPr="007A45E5">
        <w:rPr>
          <w:sz w:val="28"/>
          <w:szCs w:val="28"/>
        </w:rPr>
        <w:t>.</w:t>
      </w:r>
    </w:p>
    <w:p w:rsidR="00861B29" w:rsidRDefault="00861B29" w:rsidP="00861B29">
      <w:pPr>
        <w:pStyle w:val="a7"/>
        <w:ind w:firstLine="709"/>
        <w:jc w:val="both"/>
        <w:rPr>
          <w:szCs w:val="28"/>
        </w:rPr>
      </w:pPr>
      <w:r w:rsidRPr="002163D7">
        <w:rPr>
          <w:szCs w:val="28"/>
        </w:rPr>
        <w:t>3. Выбор метода планирования осуществляется с учетом положений нормативного правового акта, устанавливающего расходное обязательство, в зависимости от отраслевых и иных особенностей бюджетного ассигнования,</w:t>
      </w:r>
      <w:r>
        <w:rPr>
          <w:szCs w:val="28"/>
        </w:rPr>
        <w:br/>
      </w:r>
      <w:r w:rsidRPr="002163D7">
        <w:rPr>
          <w:szCs w:val="28"/>
        </w:rPr>
        <w:t>а также в соответствии с настоящей Методикой.</w:t>
      </w:r>
    </w:p>
    <w:p w:rsidR="00861B29" w:rsidRDefault="00022D4D" w:rsidP="00861B29">
      <w:pPr>
        <w:pStyle w:val="23"/>
        <w:ind w:right="0"/>
        <w:outlineLvl w:val="9"/>
        <w:rPr>
          <w:szCs w:val="28"/>
        </w:rPr>
      </w:pPr>
      <w:r>
        <w:rPr>
          <w:szCs w:val="28"/>
        </w:rPr>
        <w:lastRenderedPageBreak/>
        <w:t>4</w:t>
      </w:r>
      <w:r w:rsidR="00861B29" w:rsidRPr="002163D7">
        <w:rPr>
          <w:szCs w:val="28"/>
        </w:rPr>
        <w:t xml:space="preserve">. Особенности планирования бюджетных ассигнований </w:t>
      </w:r>
      <w:r w:rsidR="00861B29" w:rsidRPr="002163D7">
        <w:rPr>
          <w:szCs w:val="28"/>
        </w:rPr>
        <w:br/>
        <w:t>на 20</w:t>
      </w:r>
      <w:r w:rsidR="00861B29">
        <w:rPr>
          <w:szCs w:val="28"/>
        </w:rPr>
        <w:t>2</w:t>
      </w:r>
      <w:r w:rsidR="009C7D29">
        <w:rPr>
          <w:szCs w:val="28"/>
        </w:rPr>
        <w:t>6</w:t>
      </w:r>
      <w:r w:rsidR="00861B29" w:rsidRPr="002163D7">
        <w:rPr>
          <w:szCs w:val="28"/>
        </w:rPr>
        <w:t xml:space="preserve"> год и на плановый период 20</w:t>
      </w:r>
      <w:r w:rsidR="00861B29">
        <w:rPr>
          <w:szCs w:val="28"/>
        </w:rPr>
        <w:t>2</w:t>
      </w:r>
      <w:r w:rsidR="009C7D29">
        <w:rPr>
          <w:szCs w:val="28"/>
        </w:rPr>
        <w:t>7</w:t>
      </w:r>
      <w:r w:rsidR="00861B29" w:rsidRPr="002163D7">
        <w:rPr>
          <w:szCs w:val="28"/>
        </w:rPr>
        <w:t xml:space="preserve"> и 202</w:t>
      </w:r>
      <w:r w:rsidR="009C7D29">
        <w:rPr>
          <w:szCs w:val="28"/>
        </w:rPr>
        <w:t>8</w:t>
      </w:r>
      <w:r w:rsidR="00861B29" w:rsidRPr="002163D7">
        <w:rPr>
          <w:szCs w:val="28"/>
        </w:rPr>
        <w:t xml:space="preserve"> годов обусловлены</w:t>
      </w:r>
      <w:r w:rsidR="00861B29">
        <w:rPr>
          <w:szCs w:val="28"/>
        </w:rPr>
        <w:t xml:space="preserve"> необходимостью</w:t>
      </w:r>
      <w:r w:rsidR="00861B29" w:rsidRPr="002163D7">
        <w:rPr>
          <w:szCs w:val="28"/>
        </w:rPr>
        <w:t>:</w:t>
      </w:r>
    </w:p>
    <w:p w:rsidR="00861B29" w:rsidRDefault="00861B29" w:rsidP="00861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C78B2">
        <w:rPr>
          <w:sz w:val="28"/>
          <w:szCs w:val="28"/>
        </w:rPr>
        <w:t xml:space="preserve">1) </w:t>
      </w:r>
      <w:proofErr w:type="spellStart"/>
      <w:r w:rsidRPr="00BC78B2">
        <w:rPr>
          <w:sz w:val="28"/>
          <w:szCs w:val="28"/>
        </w:rPr>
        <w:t>приоритизации</w:t>
      </w:r>
      <w:proofErr w:type="spellEnd"/>
      <w:r w:rsidRPr="00BC78B2">
        <w:rPr>
          <w:sz w:val="28"/>
          <w:szCs w:val="28"/>
        </w:rPr>
        <w:t xml:space="preserve"> расходов бюджета</w:t>
      </w:r>
      <w:r w:rsidR="009C7D29" w:rsidRPr="009C7D29">
        <w:rPr>
          <w:sz w:val="28"/>
          <w:szCs w:val="28"/>
        </w:rPr>
        <w:t xml:space="preserve"> </w:t>
      </w:r>
      <w:r w:rsidR="009C7D29">
        <w:rPr>
          <w:sz w:val="28"/>
          <w:szCs w:val="28"/>
        </w:rPr>
        <w:t>округа</w:t>
      </w:r>
      <w:r w:rsidRPr="00BC78B2">
        <w:rPr>
          <w:sz w:val="28"/>
          <w:szCs w:val="28"/>
        </w:rPr>
        <w:t xml:space="preserve"> с учетом прогнозируемой экономической ситуации </w:t>
      </w:r>
      <w:r w:rsidRPr="009F735D">
        <w:rPr>
          <w:sz w:val="28"/>
          <w:szCs w:val="28"/>
        </w:rPr>
        <w:t xml:space="preserve">и выполнения обязательств </w:t>
      </w:r>
      <w:proofErr w:type="spellStart"/>
      <w:r w:rsidR="00777517" w:rsidRPr="00817F04">
        <w:rPr>
          <w:sz w:val="28"/>
          <w:szCs w:val="28"/>
        </w:rPr>
        <w:t>Аргаяшского</w:t>
      </w:r>
      <w:proofErr w:type="spellEnd"/>
      <w:r w:rsidR="00777517" w:rsidRPr="00817F04">
        <w:rPr>
          <w:sz w:val="28"/>
          <w:szCs w:val="28"/>
        </w:rPr>
        <w:t xml:space="preserve"> муниципального </w:t>
      </w:r>
      <w:r w:rsidR="009C7D29">
        <w:rPr>
          <w:sz w:val="28"/>
          <w:szCs w:val="28"/>
        </w:rPr>
        <w:t>округа</w:t>
      </w:r>
      <w:r w:rsidR="00777517" w:rsidRPr="00817F04">
        <w:rPr>
          <w:sz w:val="28"/>
          <w:szCs w:val="28"/>
        </w:rPr>
        <w:t xml:space="preserve"> </w:t>
      </w:r>
      <w:r w:rsidRPr="00817F04">
        <w:rPr>
          <w:sz w:val="28"/>
          <w:szCs w:val="28"/>
        </w:rPr>
        <w:t xml:space="preserve">по соглашениям, заключенным с Министерством финансов </w:t>
      </w:r>
      <w:r w:rsidR="00777517" w:rsidRPr="00817F04">
        <w:rPr>
          <w:sz w:val="28"/>
          <w:szCs w:val="28"/>
        </w:rPr>
        <w:t>Челябинской области</w:t>
      </w:r>
      <w:r w:rsidRPr="00BE2257">
        <w:rPr>
          <w:sz w:val="28"/>
          <w:szCs w:val="28"/>
        </w:rPr>
        <w:t xml:space="preserve"> (далее именуется – Минфин </w:t>
      </w:r>
      <w:r w:rsidR="00777517">
        <w:rPr>
          <w:sz w:val="28"/>
          <w:szCs w:val="28"/>
        </w:rPr>
        <w:t>ЧО</w:t>
      </w:r>
      <w:r>
        <w:rPr>
          <w:sz w:val="28"/>
          <w:szCs w:val="28"/>
        </w:rPr>
        <w:t>)</w:t>
      </w:r>
      <w:r w:rsidRPr="00BE2257">
        <w:rPr>
          <w:sz w:val="28"/>
          <w:szCs w:val="28"/>
        </w:rPr>
        <w:t>;</w:t>
      </w:r>
    </w:p>
    <w:p w:rsidR="00861B29" w:rsidRDefault="00861B29" w:rsidP="00861B29">
      <w:pPr>
        <w:pStyle w:val="23"/>
        <w:ind w:right="-2"/>
        <w:rPr>
          <w:szCs w:val="28"/>
        </w:rPr>
      </w:pPr>
      <w:r w:rsidRPr="0014302B">
        <w:rPr>
          <w:szCs w:val="28"/>
        </w:rPr>
        <w:t xml:space="preserve">2) </w:t>
      </w:r>
      <w:r>
        <w:rPr>
          <w:szCs w:val="28"/>
        </w:rPr>
        <w:t>безусловного исполнения публичных нормативных обязательств и иных социальных обязательств</w:t>
      </w:r>
      <w:r w:rsidRPr="00BC78B2">
        <w:rPr>
          <w:szCs w:val="28"/>
        </w:rPr>
        <w:t xml:space="preserve"> </w:t>
      </w:r>
      <w:proofErr w:type="spellStart"/>
      <w:r w:rsidR="00777517" w:rsidRPr="00AF5542">
        <w:rPr>
          <w:szCs w:val="28"/>
        </w:rPr>
        <w:t>Аргаяшско</w:t>
      </w:r>
      <w:r w:rsidR="00777517">
        <w:rPr>
          <w:szCs w:val="28"/>
        </w:rPr>
        <w:t>го</w:t>
      </w:r>
      <w:proofErr w:type="spellEnd"/>
      <w:r w:rsidR="00777517">
        <w:rPr>
          <w:szCs w:val="28"/>
        </w:rPr>
        <w:t xml:space="preserve"> </w:t>
      </w:r>
      <w:r w:rsidR="00777517" w:rsidRPr="00AF5542">
        <w:rPr>
          <w:szCs w:val="28"/>
        </w:rPr>
        <w:t>муниципально</w:t>
      </w:r>
      <w:r w:rsidR="00777517">
        <w:rPr>
          <w:szCs w:val="28"/>
        </w:rPr>
        <w:t>го</w:t>
      </w:r>
      <w:r w:rsidR="00777517" w:rsidRPr="00AF5542">
        <w:rPr>
          <w:szCs w:val="28"/>
        </w:rPr>
        <w:t xml:space="preserve"> </w:t>
      </w:r>
      <w:r w:rsidR="009C7D29">
        <w:rPr>
          <w:szCs w:val="28"/>
        </w:rPr>
        <w:t>округа</w:t>
      </w:r>
      <w:r>
        <w:rPr>
          <w:szCs w:val="28"/>
        </w:rPr>
        <w:t>;</w:t>
      </w:r>
    </w:p>
    <w:p w:rsidR="00861B29" w:rsidRDefault="00861B29" w:rsidP="00861B29">
      <w:pPr>
        <w:pStyle w:val="23"/>
        <w:ind w:right="-2"/>
        <w:rPr>
          <w:szCs w:val="28"/>
        </w:rPr>
      </w:pPr>
      <w:r w:rsidRPr="00BE2257">
        <w:rPr>
          <w:szCs w:val="28"/>
        </w:rPr>
        <w:t xml:space="preserve">3) обеспечения соответствия распределения бюджетных ассигнований на реализацию </w:t>
      </w:r>
      <w:r w:rsidR="00777517">
        <w:rPr>
          <w:szCs w:val="28"/>
        </w:rPr>
        <w:t>муниципальны</w:t>
      </w:r>
      <w:r w:rsidRPr="00BE2257">
        <w:rPr>
          <w:szCs w:val="28"/>
        </w:rPr>
        <w:t>х проектов параметрам паспортов федеральных</w:t>
      </w:r>
      <w:r w:rsidR="00777517">
        <w:rPr>
          <w:szCs w:val="28"/>
        </w:rPr>
        <w:t xml:space="preserve"> (региональных)</w:t>
      </w:r>
      <w:r w:rsidRPr="00BE2257">
        <w:rPr>
          <w:szCs w:val="28"/>
        </w:rPr>
        <w:t xml:space="preserve"> проектов, входящих в состав национальных проектов, в соответствии Указом  № </w:t>
      </w:r>
      <w:r w:rsidR="00BC6AC4">
        <w:rPr>
          <w:szCs w:val="28"/>
        </w:rPr>
        <w:t>309</w:t>
      </w:r>
      <w:r w:rsidRPr="00BE2257">
        <w:rPr>
          <w:szCs w:val="28"/>
        </w:rPr>
        <w:t>;</w:t>
      </w:r>
    </w:p>
    <w:p w:rsidR="00861B29" w:rsidRDefault="00861B29" w:rsidP="00861B29">
      <w:pPr>
        <w:pStyle w:val="23"/>
        <w:ind w:right="-2"/>
        <w:rPr>
          <w:szCs w:val="28"/>
        </w:rPr>
      </w:pPr>
      <w:proofErr w:type="gramStart"/>
      <w:r>
        <w:rPr>
          <w:szCs w:val="28"/>
        </w:rPr>
        <w:t>4</w:t>
      </w:r>
      <w:r w:rsidRPr="00D70470">
        <w:rPr>
          <w:szCs w:val="28"/>
        </w:rPr>
        <w:t>) сохранения целевых показателей Указов Президента Российской Федерации  от 07.05.2012 г. № 597 «О мероприятиях по реализации государственной</w:t>
      </w:r>
      <w:r w:rsidRPr="00AE7544">
        <w:rPr>
          <w:szCs w:val="28"/>
        </w:rPr>
        <w:t xml:space="preserve"> социальной политики», от 01.06.2012 г. № 761 «О Национальной стратегии действий в интересах </w:t>
      </w:r>
      <w:r>
        <w:rPr>
          <w:szCs w:val="28"/>
        </w:rPr>
        <w:t>детей на 2012 - 2017 годы» и от 28.12.2012 г. № 1688 «О некоторых мерах по реализации государственной политики в сфере защиты детей-сирот и детей, оставшихся без попечения родителей» в части оплаты труда</w:t>
      </w:r>
      <w:proofErr w:type="gramEnd"/>
      <w:r>
        <w:rPr>
          <w:szCs w:val="28"/>
        </w:rPr>
        <w:t xml:space="preserve"> отдельных категорий граждан (далее именуются – указы Президента </w:t>
      </w:r>
      <w:r w:rsidRPr="00020D84">
        <w:rPr>
          <w:szCs w:val="28"/>
        </w:rPr>
        <w:t>Российской Федерации 2012 года)</w:t>
      </w:r>
      <w:r>
        <w:rPr>
          <w:szCs w:val="28"/>
        </w:rPr>
        <w:t xml:space="preserve"> на достигнутом уровне ежегодно с 1 января 202</w:t>
      </w:r>
      <w:r w:rsidR="00DD6D15">
        <w:rPr>
          <w:szCs w:val="28"/>
        </w:rPr>
        <w:t>6</w:t>
      </w:r>
      <w:r>
        <w:rPr>
          <w:szCs w:val="28"/>
        </w:rPr>
        <w:t xml:space="preserve"> года, с 1 января 202</w:t>
      </w:r>
      <w:r w:rsidR="00DD6D15">
        <w:rPr>
          <w:szCs w:val="28"/>
        </w:rPr>
        <w:t>7</w:t>
      </w:r>
      <w:r>
        <w:rPr>
          <w:szCs w:val="28"/>
        </w:rPr>
        <w:t xml:space="preserve"> года и </w:t>
      </w:r>
      <w:r>
        <w:rPr>
          <w:szCs w:val="28"/>
        </w:rPr>
        <w:br/>
        <w:t>с 1 января 202</w:t>
      </w:r>
      <w:r w:rsidR="00DD6D15">
        <w:rPr>
          <w:szCs w:val="28"/>
        </w:rPr>
        <w:t>8</w:t>
      </w:r>
      <w:r>
        <w:rPr>
          <w:szCs w:val="28"/>
        </w:rPr>
        <w:t xml:space="preserve"> года</w:t>
      </w:r>
      <w:r w:rsidRPr="00020D84">
        <w:rPr>
          <w:szCs w:val="28"/>
        </w:rPr>
        <w:t xml:space="preserve">, а также обеспечения минимального </w:t>
      </w:r>
      <w:proofErr w:type="gramStart"/>
      <w:r w:rsidRPr="00020D84">
        <w:rPr>
          <w:szCs w:val="28"/>
        </w:rPr>
        <w:t>размера оплаты труда</w:t>
      </w:r>
      <w:proofErr w:type="gramEnd"/>
      <w:r w:rsidRPr="00020D84">
        <w:rPr>
          <w:szCs w:val="28"/>
        </w:rPr>
        <w:t xml:space="preserve"> в соответствии с Федеральным законом «О минимальном размере оплаты труда»;</w:t>
      </w:r>
    </w:p>
    <w:p w:rsidR="00861B29" w:rsidRDefault="009C7D29" w:rsidP="00861B29">
      <w:pPr>
        <w:pStyle w:val="23"/>
        <w:ind w:right="0"/>
        <w:outlineLvl w:val="9"/>
        <w:rPr>
          <w:szCs w:val="28"/>
        </w:rPr>
      </w:pPr>
      <w:r>
        <w:rPr>
          <w:szCs w:val="28"/>
        </w:rPr>
        <w:t>5</w:t>
      </w:r>
      <w:r w:rsidR="00861B29" w:rsidRPr="002163D7">
        <w:rPr>
          <w:szCs w:val="28"/>
        </w:rPr>
        <w:t>) уточнени</w:t>
      </w:r>
      <w:r w:rsidR="00861B29">
        <w:rPr>
          <w:szCs w:val="28"/>
        </w:rPr>
        <w:t>я</w:t>
      </w:r>
      <w:r w:rsidR="00861B29" w:rsidRPr="002163D7">
        <w:rPr>
          <w:szCs w:val="28"/>
        </w:rPr>
        <w:t xml:space="preserve"> объема и структуры бюджетных ассигнований с учетом ограниченного срока действия отдельных нормативных пра</w:t>
      </w:r>
      <w:r w:rsidR="00861B29">
        <w:rPr>
          <w:szCs w:val="28"/>
        </w:rPr>
        <w:t>в</w:t>
      </w:r>
      <w:r w:rsidR="00861B29" w:rsidRPr="002163D7">
        <w:rPr>
          <w:szCs w:val="28"/>
        </w:rPr>
        <w:t xml:space="preserve">овых актов </w:t>
      </w:r>
      <w:proofErr w:type="spellStart"/>
      <w:r w:rsidR="00174C42" w:rsidRPr="00AF5542">
        <w:rPr>
          <w:szCs w:val="28"/>
        </w:rPr>
        <w:t>Аргаяшско</w:t>
      </w:r>
      <w:r w:rsidR="00174C42">
        <w:rPr>
          <w:szCs w:val="28"/>
        </w:rPr>
        <w:t>го</w:t>
      </w:r>
      <w:proofErr w:type="spellEnd"/>
      <w:r w:rsidR="00174C42">
        <w:rPr>
          <w:szCs w:val="28"/>
        </w:rPr>
        <w:t xml:space="preserve"> </w:t>
      </w:r>
      <w:r w:rsidR="00174C42" w:rsidRPr="00AF5542">
        <w:rPr>
          <w:szCs w:val="28"/>
        </w:rPr>
        <w:t>муниципально</w:t>
      </w:r>
      <w:r w:rsidR="00174C42">
        <w:rPr>
          <w:szCs w:val="28"/>
        </w:rPr>
        <w:t>го</w:t>
      </w:r>
      <w:r w:rsidR="00174C42" w:rsidRPr="00AF5542">
        <w:rPr>
          <w:szCs w:val="28"/>
        </w:rPr>
        <w:t xml:space="preserve"> </w:t>
      </w:r>
      <w:r>
        <w:rPr>
          <w:szCs w:val="28"/>
        </w:rPr>
        <w:t>округа</w:t>
      </w:r>
      <w:r w:rsidR="00861B29" w:rsidRPr="002163D7">
        <w:rPr>
          <w:szCs w:val="28"/>
        </w:rPr>
        <w:t>;</w:t>
      </w:r>
    </w:p>
    <w:p w:rsidR="00861B29" w:rsidRDefault="009C7D29" w:rsidP="00861B29">
      <w:pPr>
        <w:pStyle w:val="23"/>
        <w:ind w:right="0"/>
        <w:outlineLvl w:val="9"/>
        <w:rPr>
          <w:szCs w:val="28"/>
        </w:rPr>
      </w:pPr>
      <w:r>
        <w:rPr>
          <w:szCs w:val="28"/>
        </w:rPr>
        <w:t>6</w:t>
      </w:r>
      <w:r w:rsidR="00861B29" w:rsidRPr="000B42DA">
        <w:rPr>
          <w:szCs w:val="28"/>
        </w:rPr>
        <w:t xml:space="preserve">) </w:t>
      </w:r>
      <w:r w:rsidR="00861B29">
        <w:rPr>
          <w:szCs w:val="28"/>
        </w:rPr>
        <w:t>учета</w:t>
      </w:r>
      <w:r w:rsidR="00861B29" w:rsidRPr="000B42DA">
        <w:rPr>
          <w:szCs w:val="28"/>
        </w:rPr>
        <w:t xml:space="preserve"> изменений бюджетно</w:t>
      </w:r>
      <w:r w:rsidR="00861B29">
        <w:rPr>
          <w:szCs w:val="28"/>
        </w:rPr>
        <w:t>го</w:t>
      </w:r>
      <w:r w:rsidR="00861B29" w:rsidRPr="000B42DA">
        <w:rPr>
          <w:szCs w:val="28"/>
        </w:rPr>
        <w:t xml:space="preserve"> законодательств</w:t>
      </w:r>
      <w:r w:rsidR="00861B29">
        <w:rPr>
          <w:szCs w:val="28"/>
        </w:rPr>
        <w:t>а</w:t>
      </w:r>
      <w:r w:rsidR="00861B29" w:rsidRPr="000B42DA">
        <w:rPr>
          <w:szCs w:val="28"/>
        </w:rPr>
        <w:t xml:space="preserve"> Российской Федерации</w:t>
      </w:r>
      <w:r w:rsidR="00174C42">
        <w:rPr>
          <w:szCs w:val="28"/>
        </w:rPr>
        <w:t>,</w:t>
      </w:r>
      <w:r w:rsidR="00861B29" w:rsidRPr="000B42DA">
        <w:rPr>
          <w:szCs w:val="28"/>
        </w:rPr>
        <w:t xml:space="preserve"> Челябинской области</w:t>
      </w:r>
      <w:r w:rsidR="00174C42">
        <w:rPr>
          <w:szCs w:val="28"/>
        </w:rPr>
        <w:t xml:space="preserve"> и </w:t>
      </w:r>
      <w:proofErr w:type="spellStart"/>
      <w:r w:rsidR="00174C42" w:rsidRPr="00AF5542">
        <w:rPr>
          <w:szCs w:val="28"/>
        </w:rPr>
        <w:t>Аргаяшско</w:t>
      </w:r>
      <w:r w:rsidR="00174C42">
        <w:rPr>
          <w:szCs w:val="28"/>
        </w:rPr>
        <w:t>го</w:t>
      </w:r>
      <w:proofErr w:type="spellEnd"/>
      <w:r w:rsidR="00174C42">
        <w:rPr>
          <w:szCs w:val="28"/>
        </w:rPr>
        <w:t xml:space="preserve"> </w:t>
      </w:r>
      <w:r w:rsidR="00174C42" w:rsidRPr="00AF5542">
        <w:rPr>
          <w:szCs w:val="28"/>
        </w:rPr>
        <w:t>муниципально</w:t>
      </w:r>
      <w:r w:rsidR="00174C42">
        <w:rPr>
          <w:szCs w:val="28"/>
        </w:rPr>
        <w:t>го</w:t>
      </w:r>
      <w:r w:rsidR="00174C42" w:rsidRPr="00AF5542">
        <w:rPr>
          <w:szCs w:val="28"/>
        </w:rPr>
        <w:t xml:space="preserve"> </w:t>
      </w:r>
      <w:r>
        <w:rPr>
          <w:szCs w:val="28"/>
        </w:rPr>
        <w:t>округа</w:t>
      </w:r>
      <w:r w:rsidR="00861B29" w:rsidRPr="00AD1646">
        <w:rPr>
          <w:szCs w:val="28"/>
        </w:rPr>
        <w:t>;</w:t>
      </w:r>
    </w:p>
    <w:p w:rsidR="00861B29" w:rsidRDefault="009C7D29" w:rsidP="00861B29">
      <w:pPr>
        <w:pStyle w:val="23"/>
        <w:ind w:right="0"/>
        <w:outlineLvl w:val="9"/>
        <w:rPr>
          <w:szCs w:val="28"/>
        </w:rPr>
      </w:pPr>
      <w:r>
        <w:rPr>
          <w:szCs w:val="28"/>
        </w:rPr>
        <w:t>7</w:t>
      </w:r>
      <w:r w:rsidR="00861B29" w:rsidRPr="00883C16">
        <w:rPr>
          <w:szCs w:val="28"/>
        </w:rPr>
        <w:t xml:space="preserve">) </w:t>
      </w:r>
      <w:r w:rsidR="00861B29">
        <w:rPr>
          <w:szCs w:val="28"/>
        </w:rPr>
        <w:t>учета</w:t>
      </w:r>
      <w:r w:rsidR="00861B29" w:rsidRPr="00883C16">
        <w:rPr>
          <w:szCs w:val="28"/>
        </w:rPr>
        <w:t xml:space="preserve"> изменений в указания по применению  бюджетной </w:t>
      </w:r>
      <w:r w:rsidR="00861B29">
        <w:rPr>
          <w:szCs w:val="28"/>
        </w:rPr>
        <w:t xml:space="preserve"> </w:t>
      </w:r>
      <w:r w:rsidR="00861B29" w:rsidRPr="00883C16">
        <w:rPr>
          <w:szCs w:val="28"/>
        </w:rPr>
        <w:t>классификации Российской Федерации</w:t>
      </w:r>
      <w:r w:rsidR="00861B29">
        <w:rPr>
          <w:szCs w:val="28"/>
        </w:rPr>
        <w:t>;</w:t>
      </w:r>
    </w:p>
    <w:p w:rsidR="00861B29" w:rsidRDefault="00174C42" w:rsidP="00861B29">
      <w:pPr>
        <w:pStyle w:val="23"/>
        <w:ind w:right="0"/>
        <w:outlineLvl w:val="9"/>
        <w:rPr>
          <w:szCs w:val="28"/>
        </w:rPr>
      </w:pPr>
      <w:r>
        <w:rPr>
          <w:szCs w:val="28"/>
        </w:rPr>
        <w:t>5</w:t>
      </w:r>
      <w:r w:rsidR="00861B29" w:rsidRPr="002163D7">
        <w:rPr>
          <w:szCs w:val="28"/>
        </w:rPr>
        <w:t xml:space="preserve">. Бюджетные ассигнования должны соответствовать закрытому Перечню видов бюджетных ассигнований с учетом статьи 69 Бюджетного кодекса Российской Федерации и рассчитываются с учетом положений статей  </w:t>
      </w:r>
      <w:r w:rsidR="00861B29" w:rsidRPr="00A52F6D">
        <w:rPr>
          <w:szCs w:val="28"/>
        </w:rPr>
        <w:t>69.1, 70, 74.1, 78, 78.1, 78.2, 78.4,</w:t>
      </w:r>
      <w:r w:rsidR="00861B29">
        <w:rPr>
          <w:szCs w:val="28"/>
        </w:rPr>
        <w:t xml:space="preserve"> 79, 79</w:t>
      </w:r>
      <w:r w:rsidR="00861B29" w:rsidRPr="00A52F6D">
        <w:rPr>
          <w:szCs w:val="28"/>
        </w:rPr>
        <w:t>.1, 80, 136-138, 138.1 – 138.4, 138.6, 139, 139.1, 140</w:t>
      </w:r>
      <w:r w:rsidR="00861B29" w:rsidRPr="002163D7">
        <w:rPr>
          <w:szCs w:val="28"/>
        </w:rPr>
        <w:t xml:space="preserve"> Бюджетного кодекса Российской Федерации. Планирование бюджетных ассигнований в иных видах не допускается. </w:t>
      </w:r>
    </w:p>
    <w:p w:rsidR="00861B29" w:rsidRDefault="00174C42" w:rsidP="00861B29">
      <w:pPr>
        <w:pStyle w:val="23"/>
        <w:ind w:right="0"/>
        <w:outlineLvl w:val="9"/>
        <w:rPr>
          <w:szCs w:val="28"/>
        </w:rPr>
      </w:pPr>
      <w:r>
        <w:rPr>
          <w:szCs w:val="28"/>
        </w:rPr>
        <w:t>6</w:t>
      </w:r>
      <w:r w:rsidR="00861B29">
        <w:rPr>
          <w:szCs w:val="28"/>
        </w:rPr>
        <w:t xml:space="preserve">. Планирование бюджетных ассигнований осуществляется раздельно </w:t>
      </w:r>
      <w:r w:rsidR="00861B29">
        <w:rPr>
          <w:szCs w:val="28"/>
        </w:rPr>
        <w:br/>
        <w:t>на исполнение действующих расходных обязательств и принимаемых расходных обязательств.</w:t>
      </w:r>
    </w:p>
    <w:p w:rsidR="00861B29" w:rsidRDefault="00861B29" w:rsidP="00861B29">
      <w:pPr>
        <w:pStyle w:val="23"/>
        <w:ind w:right="0"/>
        <w:outlineLvl w:val="9"/>
        <w:rPr>
          <w:szCs w:val="28"/>
        </w:rPr>
      </w:pPr>
      <w:proofErr w:type="gramStart"/>
      <w:r w:rsidRPr="002163D7">
        <w:rPr>
          <w:szCs w:val="28"/>
        </w:rPr>
        <w:t xml:space="preserve">Основаниями возникновения действующих расходных обязательств, </w:t>
      </w:r>
      <w:r w:rsidRPr="002163D7">
        <w:rPr>
          <w:szCs w:val="28"/>
        </w:rPr>
        <w:br/>
        <w:t xml:space="preserve">на исполнение которых планируется направить бюджетные ассигнования, являются законы Челябинской области, нормативные правовые акты </w:t>
      </w:r>
      <w:proofErr w:type="spellStart"/>
      <w:r w:rsidR="00174C42" w:rsidRPr="00AF5542">
        <w:rPr>
          <w:szCs w:val="28"/>
        </w:rPr>
        <w:t>Аргаяшско</w:t>
      </w:r>
      <w:r w:rsidR="00174C42">
        <w:rPr>
          <w:szCs w:val="28"/>
        </w:rPr>
        <w:t>го</w:t>
      </w:r>
      <w:proofErr w:type="spellEnd"/>
      <w:r w:rsidR="00174C42">
        <w:rPr>
          <w:szCs w:val="28"/>
        </w:rPr>
        <w:t xml:space="preserve"> </w:t>
      </w:r>
      <w:r w:rsidR="00174C42" w:rsidRPr="00AF5542">
        <w:rPr>
          <w:szCs w:val="28"/>
        </w:rPr>
        <w:t>муниципально</w:t>
      </w:r>
      <w:r w:rsidR="00174C42">
        <w:rPr>
          <w:szCs w:val="28"/>
        </w:rPr>
        <w:t>го</w:t>
      </w:r>
      <w:r w:rsidR="00174C42" w:rsidRPr="00AF5542">
        <w:rPr>
          <w:szCs w:val="28"/>
        </w:rPr>
        <w:t xml:space="preserve"> </w:t>
      </w:r>
      <w:r w:rsidR="009C7D29">
        <w:rPr>
          <w:szCs w:val="28"/>
        </w:rPr>
        <w:t>округа</w:t>
      </w:r>
      <w:r w:rsidRPr="002163D7">
        <w:rPr>
          <w:szCs w:val="28"/>
        </w:rPr>
        <w:t xml:space="preserve">, договоры (соглашения), заключенные </w:t>
      </w:r>
      <w:r w:rsidRPr="002163D7">
        <w:rPr>
          <w:szCs w:val="28"/>
        </w:rPr>
        <w:lastRenderedPageBreak/>
        <w:t xml:space="preserve">от имени </w:t>
      </w:r>
      <w:proofErr w:type="spellStart"/>
      <w:r w:rsidR="00174C42" w:rsidRPr="00AF5542">
        <w:rPr>
          <w:szCs w:val="28"/>
        </w:rPr>
        <w:t>Аргаяшско</w:t>
      </w:r>
      <w:r w:rsidR="00174C42">
        <w:rPr>
          <w:szCs w:val="28"/>
        </w:rPr>
        <w:t>го</w:t>
      </w:r>
      <w:proofErr w:type="spellEnd"/>
      <w:r w:rsidR="00174C42">
        <w:rPr>
          <w:szCs w:val="28"/>
        </w:rPr>
        <w:t xml:space="preserve"> </w:t>
      </w:r>
      <w:r w:rsidR="00174C42" w:rsidRPr="00AF5542">
        <w:rPr>
          <w:szCs w:val="28"/>
        </w:rPr>
        <w:t>муниципально</w:t>
      </w:r>
      <w:r w:rsidR="00174C42">
        <w:rPr>
          <w:szCs w:val="28"/>
        </w:rPr>
        <w:t>го</w:t>
      </w:r>
      <w:r w:rsidR="00174C42" w:rsidRPr="00AF5542">
        <w:rPr>
          <w:szCs w:val="28"/>
        </w:rPr>
        <w:t xml:space="preserve"> район</w:t>
      </w:r>
      <w:r w:rsidR="00174C42">
        <w:rPr>
          <w:szCs w:val="28"/>
        </w:rPr>
        <w:t>а</w:t>
      </w:r>
      <w:r w:rsidRPr="002163D7">
        <w:rPr>
          <w:szCs w:val="28"/>
        </w:rPr>
        <w:t>, не предлагаемые</w:t>
      </w:r>
      <w:r>
        <w:rPr>
          <w:szCs w:val="28"/>
        </w:rPr>
        <w:br/>
      </w:r>
      <w:r w:rsidRPr="002163D7">
        <w:rPr>
          <w:szCs w:val="28"/>
        </w:rPr>
        <w:t>(не планируемые) в 20</w:t>
      </w:r>
      <w:r>
        <w:rPr>
          <w:szCs w:val="28"/>
        </w:rPr>
        <w:t>2</w:t>
      </w:r>
      <w:r w:rsidR="009C7D29">
        <w:rPr>
          <w:szCs w:val="28"/>
        </w:rPr>
        <w:t>6</w:t>
      </w:r>
      <w:r w:rsidRPr="002163D7">
        <w:rPr>
          <w:szCs w:val="28"/>
        </w:rPr>
        <w:t>-202</w:t>
      </w:r>
      <w:r w:rsidR="009C7D29">
        <w:rPr>
          <w:szCs w:val="28"/>
        </w:rPr>
        <w:t>8</w:t>
      </w:r>
      <w:r w:rsidRPr="002163D7">
        <w:rPr>
          <w:szCs w:val="28"/>
        </w:rPr>
        <w:t xml:space="preserve"> годах к изменению, к признанию утратившими силу либо к изменению с увеличением объема бюджетных ассигнований, предусмотренных на исполнение соответствующих обязательств в 20</w:t>
      </w:r>
      <w:r>
        <w:rPr>
          <w:szCs w:val="28"/>
        </w:rPr>
        <w:t>2</w:t>
      </w:r>
      <w:r w:rsidR="009C7D29">
        <w:rPr>
          <w:szCs w:val="28"/>
        </w:rPr>
        <w:t>5</w:t>
      </w:r>
      <w:r w:rsidRPr="002163D7">
        <w:rPr>
          <w:szCs w:val="28"/>
        </w:rPr>
        <w:t xml:space="preserve"> году.</w:t>
      </w:r>
      <w:proofErr w:type="gramEnd"/>
    </w:p>
    <w:p w:rsidR="00861B29" w:rsidRDefault="00861B29" w:rsidP="00861B29">
      <w:pPr>
        <w:pStyle w:val="23"/>
        <w:ind w:right="0"/>
        <w:outlineLvl w:val="9"/>
        <w:rPr>
          <w:szCs w:val="28"/>
        </w:rPr>
      </w:pPr>
      <w:proofErr w:type="gramStart"/>
      <w:r w:rsidRPr="002163D7">
        <w:rPr>
          <w:szCs w:val="28"/>
        </w:rPr>
        <w:t xml:space="preserve">Основаниями возникновения принимаемых расходных обязательств, на исполнение которых планируется направить бюджетные ассигнования, являются законы Челябинской области, нормативные правовые акты </w:t>
      </w:r>
      <w:proofErr w:type="spellStart"/>
      <w:r w:rsidR="00174C42" w:rsidRPr="00AF5542">
        <w:rPr>
          <w:szCs w:val="28"/>
        </w:rPr>
        <w:t>Аргаяшско</w:t>
      </w:r>
      <w:r w:rsidR="00174C42">
        <w:rPr>
          <w:szCs w:val="28"/>
        </w:rPr>
        <w:t>го</w:t>
      </w:r>
      <w:proofErr w:type="spellEnd"/>
      <w:r w:rsidR="00174C42">
        <w:rPr>
          <w:szCs w:val="28"/>
        </w:rPr>
        <w:t xml:space="preserve"> </w:t>
      </w:r>
      <w:r w:rsidR="00174C42" w:rsidRPr="00AF5542">
        <w:rPr>
          <w:szCs w:val="28"/>
        </w:rPr>
        <w:t>муниципально</w:t>
      </w:r>
      <w:r w:rsidR="00174C42">
        <w:rPr>
          <w:szCs w:val="28"/>
        </w:rPr>
        <w:t>го</w:t>
      </w:r>
      <w:r w:rsidR="00174C42" w:rsidRPr="00AF5542">
        <w:rPr>
          <w:szCs w:val="28"/>
        </w:rPr>
        <w:t xml:space="preserve"> </w:t>
      </w:r>
      <w:r w:rsidR="009C7D29">
        <w:rPr>
          <w:szCs w:val="28"/>
        </w:rPr>
        <w:t>округа</w:t>
      </w:r>
      <w:r w:rsidRPr="002163D7">
        <w:rPr>
          <w:szCs w:val="28"/>
        </w:rPr>
        <w:t xml:space="preserve">, договоры (соглашения), заключаемые от имени </w:t>
      </w:r>
      <w:proofErr w:type="spellStart"/>
      <w:r w:rsidR="00174C42" w:rsidRPr="00AF5542">
        <w:rPr>
          <w:szCs w:val="28"/>
        </w:rPr>
        <w:t>Аргаяшско</w:t>
      </w:r>
      <w:r w:rsidR="00174C42">
        <w:rPr>
          <w:szCs w:val="28"/>
        </w:rPr>
        <w:t>го</w:t>
      </w:r>
      <w:proofErr w:type="spellEnd"/>
      <w:r w:rsidR="00174C42">
        <w:rPr>
          <w:szCs w:val="28"/>
        </w:rPr>
        <w:t xml:space="preserve"> </w:t>
      </w:r>
      <w:r w:rsidR="00174C42" w:rsidRPr="00AF5542">
        <w:rPr>
          <w:szCs w:val="28"/>
        </w:rPr>
        <w:t>муниципально</w:t>
      </w:r>
      <w:r w:rsidR="00174C42">
        <w:rPr>
          <w:szCs w:val="28"/>
        </w:rPr>
        <w:t>го</w:t>
      </w:r>
      <w:r w:rsidR="00174C42" w:rsidRPr="00AF5542">
        <w:rPr>
          <w:szCs w:val="28"/>
        </w:rPr>
        <w:t xml:space="preserve"> </w:t>
      </w:r>
      <w:r w:rsidR="009C7D29">
        <w:rPr>
          <w:szCs w:val="28"/>
        </w:rPr>
        <w:t>округа</w:t>
      </w:r>
      <w:r w:rsidRPr="002163D7">
        <w:rPr>
          <w:szCs w:val="28"/>
        </w:rPr>
        <w:t>, предлагаемые (планируемые)</w:t>
      </w:r>
      <w:r w:rsidR="00174C42">
        <w:rPr>
          <w:szCs w:val="28"/>
        </w:rPr>
        <w:t xml:space="preserve"> </w:t>
      </w:r>
      <w:r w:rsidRPr="002163D7">
        <w:rPr>
          <w:szCs w:val="28"/>
        </w:rPr>
        <w:t>к принятию (изменению) в 20</w:t>
      </w:r>
      <w:r>
        <w:rPr>
          <w:szCs w:val="28"/>
        </w:rPr>
        <w:t>2</w:t>
      </w:r>
      <w:r w:rsidR="009C7D29">
        <w:rPr>
          <w:szCs w:val="28"/>
        </w:rPr>
        <w:t>6</w:t>
      </w:r>
      <w:r w:rsidRPr="002163D7">
        <w:rPr>
          <w:szCs w:val="28"/>
        </w:rPr>
        <w:t>-202</w:t>
      </w:r>
      <w:r w:rsidR="009C7D29">
        <w:rPr>
          <w:szCs w:val="28"/>
        </w:rPr>
        <w:t>8</w:t>
      </w:r>
      <w:r w:rsidRPr="002163D7">
        <w:rPr>
          <w:szCs w:val="28"/>
        </w:rPr>
        <w:t xml:space="preserve"> годах, к принятию либо изменению с увеличением объема бюджетных ассигнований, предусмотренных на их исполнение в 20</w:t>
      </w:r>
      <w:r>
        <w:rPr>
          <w:szCs w:val="28"/>
        </w:rPr>
        <w:t>2</w:t>
      </w:r>
      <w:r w:rsidR="009C7D29">
        <w:rPr>
          <w:szCs w:val="28"/>
        </w:rPr>
        <w:t>5</w:t>
      </w:r>
      <w:r w:rsidRPr="002163D7">
        <w:rPr>
          <w:szCs w:val="28"/>
        </w:rPr>
        <w:t xml:space="preserve"> году.</w:t>
      </w:r>
      <w:proofErr w:type="gramEnd"/>
    </w:p>
    <w:p w:rsidR="00861B29" w:rsidRDefault="00861B29" w:rsidP="00861B29">
      <w:pPr>
        <w:pStyle w:val="23"/>
        <w:ind w:right="0"/>
        <w:outlineLvl w:val="9"/>
        <w:rPr>
          <w:szCs w:val="28"/>
        </w:rPr>
      </w:pPr>
      <w:r>
        <w:rPr>
          <w:szCs w:val="28"/>
        </w:rPr>
        <w:t>Планирование бюджетных ассигнований на исполнение принимаемых расходных обязательств осуществляется с учетом действующих и неисполненных обязатель</w:t>
      </w:r>
      <w:proofErr w:type="gramStart"/>
      <w:r>
        <w:rPr>
          <w:szCs w:val="28"/>
        </w:rPr>
        <w:t>ств пр</w:t>
      </w:r>
      <w:proofErr w:type="gramEnd"/>
      <w:r>
        <w:rPr>
          <w:szCs w:val="28"/>
        </w:rPr>
        <w:t>и первоочередном планировании бюджетных ассигнований на исполнение действующих расходных обязательств.</w:t>
      </w:r>
    </w:p>
    <w:p w:rsidR="00861B29" w:rsidRDefault="00861B29" w:rsidP="00861B29">
      <w:pPr>
        <w:pStyle w:val="23"/>
        <w:ind w:right="0"/>
        <w:outlineLvl w:val="9"/>
        <w:rPr>
          <w:szCs w:val="28"/>
        </w:rPr>
      </w:pPr>
      <w:r>
        <w:rPr>
          <w:szCs w:val="28"/>
        </w:rPr>
        <w:t xml:space="preserve">При планировании бюджетных ассигнований главные распорядители составляют обоснования бюджетных ассигнований на реализацию </w:t>
      </w:r>
      <w:r w:rsidR="00174C42">
        <w:rPr>
          <w:szCs w:val="28"/>
        </w:rPr>
        <w:t>муниципальных</w:t>
      </w:r>
      <w:r>
        <w:rPr>
          <w:szCs w:val="28"/>
        </w:rPr>
        <w:t xml:space="preserve"> программ </w:t>
      </w:r>
      <w:proofErr w:type="spellStart"/>
      <w:r w:rsidR="00174C42" w:rsidRPr="00AF5542">
        <w:rPr>
          <w:szCs w:val="28"/>
        </w:rPr>
        <w:t>Аргаяшско</w:t>
      </w:r>
      <w:r w:rsidR="00174C42">
        <w:rPr>
          <w:szCs w:val="28"/>
        </w:rPr>
        <w:t>го</w:t>
      </w:r>
      <w:proofErr w:type="spellEnd"/>
      <w:r w:rsidR="00174C42">
        <w:rPr>
          <w:szCs w:val="28"/>
        </w:rPr>
        <w:t xml:space="preserve"> </w:t>
      </w:r>
      <w:r w:rsidR="00174C42" w:rsidRPr="00AF5542">
        <w:rPr>
          <w:szCs w:val="28"/>
        </w:rPr>
        <w:t>муниципально</w:t>
      </w:r>
      <w:r w:rsidR="00174C42">
        <w:rPr>
          <w:szCs w:val="28"/>
        </w:rPr>
        <w:t>го</w:t>
      </w:r>
      <w:r w:rsidR="00174C42" w:rsidRPr="00AF5542">
        <w:rPr>
          <w:szCs w:val="28"/>
        </w:rPr>
        <w:t xml:space="preserve"> </w:t>
      </w:r>
      <w:r w:rsidR="009C7D29">
        <w:rPr>
          <w:szCs w:val="28"/>
        </w:rPr>
        <w:t>округа</w:t>
      </w:r>
      <w:r>
        <w:rPr>
          <w:szCs w:val="28"/>
        </w:rPr>
        <w:t xml:space="preserve"> и </w:t>
      </w:r>
      <w:proofErr w:type="spellStart"/>
      <w:r>
        <w:rPr>
          <w:szCs w:val="28"/>
        </w:rPr>
        <w:t>непрограммных</w:t>
      </w:r>
      <w:proofErr w:type="spellEnd"/>
      <w:r>
        <w:rPr>
          <w:szCs w:val="28"/>
        </w:rPr>
        <w:t xml:space="preserve"> направлений деятельности по форме согласно </w:t>
      </w:r>
      <w:r w:rsidRPr="00E144FD">
        <w:rPr>
          <w:szCs w:val="28"/>
        </w:rPr>
        <w:t>приложению 1 к настоящей</w:t>
      </w:r>
      <w:r>
        <w:rPr>
          <w:szCs w:val="28"/>
        </w:rPr>
        <w:t xml:space="preserve"> Методике</w:t>
      </w:r>
      <w:r w:rsidR="00DC01DA">
        <w:rPr>
          <w:szCs w:val="28"/>
        </w:rPr>
        <w:t>.</w:t>
      </w:r>
    </w:p>
    <w:p w:rsidR="00DC01DA" w:rsidRPr="002163D7" w:rsidRDefault="00DC01DA" w:rsidP="00861B29">
      <w:pPr>
        <w:pStyle w:val="23"/>
        <w:ind w:right="0"/>
        <w:outlineLvl w:val="9"/>
        <w:rPr>
          <w:szCs w:val="28"/>
        </w:rPr>
      </w:pPr>
    </w:p>
    <w:p w:rsidR="00861B29" w:rsidRPr="002163D7" w:rsidRDefault="00861B29" w:rsidP="00861B29">
      <w:pPr>
        <w:pStyle w:val="a7"/>
        <w:numPr>
          <w:ilvl w:val="0"/>
          <w:numId w:val="5"/>
        </w:numPr>
        <w:jc w:val="center"/>
      </w:pPr>
      <w:r w:rsidRPr="002163D7">
        <w:t>Общие подходы к формированию предельных объемов бюджетных</w:t>
      </w:r>
      <w:r>
        <w:t xml:space="preserve"> </w:t>
      </w:r>
      <w:r w:rsidRPr="002163D7">
        <w:t>ассигнований бюджета</w:t>
      </w:r>
      <w:r w:rsidR="009C7D29">
        <w:t xml:space="preserve"> округа</w:t>
      </w:r>
      <w:r w:rsidRPr="002163D7">
        <w:t xml:space="preserve"> на 20</w:t>
      </w:r>
      <w:r>
        <w:t>2</w:t>
      </w:r>
      <w:r w:rsidR="009C7D29">
        <w:t>6</w:t>
      </w:r>
      <w:r w:rsidRPr="002163D7">
        <w:t>-202</w:t>
      </w:r>
      <w:r w:rsidR="009C7D29">
        <w:t>8</w:t>
      </w:r>
      <w:r w:rsidRPr="002163D7">
        <w:t xml:space="preserve"> годы</w:t>
      </w:r>
    </w:p>
    <w:p w:rsidR="00BC4455" w:rsidRDefault="00BC4455" w:rsidP="00861B29">
      <w:pPr>
        <w:pStyle w:val="a7"/>
        <w:ind w:firstLine="709"/>
        <w:jc w:val="both"/>
        <w:rPr>
          <w:rFonts w:eastAsia="Calibri"/>
          <w:color w:val="000000"/>
          <w:szCs w:val="28"/>
        </w:rPr>
      </w:pPr>
    </w:p>
    <w:p w:rsidR="00861B29" w:rsidRPr="002E2AA0" w:rsidRDefault="00174C42" w:rsidP="00861B29">
      <w:pPr>
        <w:pStyle w:val="a7"/>
        <w:ind w:firstLine="709"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7</w:t>
      </w:r>
      <w:r w:rsidR="00861B29" w:rsidRPr="002E2AA0">
        <w:rPr>
          <w:rFonts w:eastAsia="Calibri"/>
          <w:color w:val="000000"/>
          <w:szCs w:val="28"/>
        </w:rPr>
        <w:t xml:space="preserve">. В качестве «базовых» объемов бюджетных ассигнований бюджета </w:t>
      </w:r>
      <w:r w:rsidR="009C7D29">
        <w:rPr>
          <w:szCs w:val="28"/>
        </w:rPr>
        <w:t>округа</w:t>
      </w:r>
      <w:r w:rsidR="009C7D29" w:rsidRPr="002E2AA0">
        <w:rPr>
          <w:rFonts w:eastAsia="Calibri"/>
          <w:color w:val="000000"/>
          <w:szCs w:val="28"/>
        </w:rPr>
        <w:t xml:space="preserve"> </w:t>
      </w:r>
      <w:r w:rsidR="00861B29" w:rsidRPr="002E2AA0">
        <w:rPr>
          <w:rFonts w:eastAsia="Calibri"/>
          <w:color w:val="000000"/>
          <w:szCs w:val="28"/>
        </w:rPr>
        <w:t>принимаются уточненные бюджетные ассигнования 202</w:t>
      </w:r>
      <w:r w:rsidR="009C7D29">
        <w:rPr>
          <w:rFonts w:eastAsia="Calibri"/>
          <w:color w:val="000000"/>
          <w:szCs w:val="28"/>
        </w:rPr>
        <w:t>5</w:t>
      </w:r>
      <w:r w:rsidR="00861B29" w:rsidRPr="002E2AA0">
        <w:rPr>
          <w:rFonts w:eastAsia="Calibri"/>
          <w:color w:val="000000"/>
          <w:szCs w:val="28"/>
        </w:rPr>
        <w:t xml:space="preserve"> года.</w:t>
      </w:r>
    </w:p>
    <w:p w:rsidR="00861B29" w:rsidRDefault="00861B29" w:rsidP="00861B29">
      <w:pPr>
        <w:pStyle w:val="a7"/>
        <w:ind w:firstLine="709"/>
        <w:jc w:val="both"/>
      </w:pPr>
      <w:r w:rsidRPr="000620CD">
        <w:t>«Базовые» объемы бюджетных ассигнований уточняются с учетом:</w:t>
      </w:r>
    </w:p>
    <w:p w:rsidR="00861B29" w:rsidRDefault="00861B29" w:rsidP="00861B2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1) </w:t>
      </w:r>
      <w:r w:rsidRPr="002163D7">
        <w:rPr>
          <w:rFonts w:eastAsia="Calibri"/>
          <w:color w:val="000000"/>
          <w:sz w:val="28"/>
          <w:szCs w:val="28"/>
          <w:lang w:eastAsia="en-US"/>
        </w:rPr>
        <w:t xml:space="preserve">уменьшения объемов бюджетных ассигнований по расходным обязательствам ограниченного срока действия, в связи с уменьшением </w:t>
      </w:r>
      <w:r w:rsidRPr="00F56FCC">
        <w:rPr>
          <w:rFonts w:eastAsia="Calibri"/>
          <w:color w:val="000000"/>
          <w:sz w:val="28"/>
          <w:szCs w:val="28"/>
          <w:lang w:eastAsia="en-US"/>
        </w:rPr>
        <w:t>контингента получателей бюджетных средств, а также на сумму сложившейся в 202</w:t>
      </w:r>
      <w:r w:rsidR="00DC68EC">
        <w:rPr>
          <w:rFonts w:eastAsia="Calibri"/>
          <w:color w:val="000000"/>
          <w:sz w:val="28"/>
          <w:szCs w:val="28"/>
          <w:lang w:eastAsia="en-US"/>
        </w:rPr>
        <w:t>5</w:t>
      </w:r>
      <w:r w:rsidRPr="00F56FCC">
        <w:rPr>
          <w:rFonts w:eastAsia="Calibri"/>
          <w:color w:val="000000"/>
          <w:sz w:val="28"/>
          <w:szCs w:val="28"/>
          <w:lang w:eastAsia="en-US"/>
        </w:rPr>
        <w:t xml:space="preserve"> году экономии бюджетных ассигнований по результатам проведения торгов при осуществлении закупочных процедур;</w:t>
      </w:r>
    </w:p>
    <w:p w:rsidR="00861B29" w:rsidRDefault="00174C42" w:rsidP="00861B2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2</w:t>
      </w:r>
      <w:r w:rsidR="00861B29">
        <w:rPr>
          <w:rFonts w:eastAsia="Calibri"/>
          <w:color w:val="000000"/>
          <w:sz w:val="28"/>
          <w:szCs w:val="28"/>
          <w:lang w:eastAsia="en-US"/>
        </w:rPr>
        <w:t xml:space="preserve">) </w:t>
      </w:r>
      <w:r w:rsidR="00861B29" w:rsidRPr="002163D7">
        <w:rPr>
          <w:rFonts w:eastAsia="Calibri"/>
          <w:color w:val="000000"/>
          <w:sz w:val="28"/>
          <w:szCs w:val="28"/>
          <w:lang w:eastAsia="en-US"/>
        </w:rPr>
        <w:t>увеличения бюджетных ассигнований в связи с принятием в текущем году расходных обязательств, действие которых распространяется на планируемый период</w:t>
      </w:r>
      <w:r w:rsidR="00BC445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861B29" w:rsidRDefault="00BC4455" w:rsidP="00861B29">
      <w:pPr>
        <w:ind w:firstLine="708"/>
        <w:jc w:val="both"/>
        <w:rPr>
          <w:sz w:val="28"/>
          <w:szCs w:val="28"/>
        </w:rPr>
      </w:pPr>
      <w:r>
        <w:rPr>
          <w:sz w:val="28"/>
          <w:lang w:eastAsia="en-US"/>
        </w:rPr>
        <w:t>8</w:t>
      </w:r>
      <w:r w:rsidR="00861B29" w:rsidRPr="00C16B93">
        <w:rPr>
          <w:sz w:val="28"/>
          <w:lang w:eastAsia="en-US"/>
        </w:rPr>
        <w:t>. Фонд оплаты труда работников бюджетной сферы определяется с</w:t>
      </w:r>
      <w:r w:rsidR="00861B29" w:rsidRPr="002163D7">
        <w:rPr>
          <w:sz w:val="28"/>
          <w:lang w:eastAsia="en-US"/>
        </w:rPr>
        <w:t xml:space="preserve"> </w:t>
      </w:r>
      <w:r w:rsidR="00861B29" w:rsidRPr="0009563F">
        <w:rPr>
          <w:sz w:val="28"/>
          <w:lang w:eastAsia="en-US"/>
        </w:rPr>
        <w:t xml:space="preserve">учетом </w:t>
      </w:r>
      <w:r w:rsidR="00861B29" w:rsidRPr="0009563F">
        <w:rPr>
          <w:sz w:val="28"/>
          <w:szCs w:val="28"/>
        </w:rPr>
        <w:t>сохранения в 202</w:t>
      </w:r>
      <w:r w:rsidR="00DD6D15">
        <w:rPr>
          <w:sz w:val="28"/>
          <w:szCs w:val="28"/>
        </w:rPr>
        <w:t>6</w:t>
      </w:r>
      <w:r w:rsidR="00861B29" w:rsidRPr="0009563F">
        <w:rPr>
          <w:sz w:val="28"/>
          <w:szCs w:val="28"/>
        </w:rPr>
        <w:t>-202</w:t>
      </w:r>
      <w:r w:rsidR="00DD6D15">
        <w:rPr>
          <w:sz w:val="28"/>
          <w:szCs w:val="28"/>
        </w:rPr>
        <w:t>8</w:t>
      </w:r>
      <w:r w:rsidR="00861B29" w:rsidRPr="0009563F">
        <w:rPr>
          <w:sz w:val="28"/>
          <w:szCs w:val="28"/>
        </w:rPr>
        <w:t xml:space="preserve"> годах начислений на выплаты по оплате труда в размере 30,2 % (включая тарифы страховых взносов на обязательное страхование от несчастных случаев на производстве и профессиональных заболеваний в размере 0,2 %).</w:t>
      </w:r>
    </w:p>
    <w:p w:rsidR="00861B29" w:rsidRDefault="00861B29" w:rsidP="00861B29">
      <w:pPr>
        <w:pStyle w:val="a7"/>
        <w:ind w:firstLine="709"/>
        <w:jc w:val="both"/>
      </w:pPr>
      <w:r w:rsidRPr="00610343">
        <w:t xml:space="preserve">Формирование фонда оплаты труда осуществляется с учетом: категорий работников бюджетной сферы; целевых показателей указов Президента Российской Федерации 2012 года и Федерального закона «О минимальном </w:t>
      </w:r>
      <w:proofErr w:type="gramStart"/>
      <w:r w:rsidRPr="00610343">
        <w:t>размере оплаты труда</w:t>
      </w:r>
      <w:proofErr w:type="gramEnd"/>
      <w:r w:rsidRPr="00610343">
        <w:t>».</w:t>
      </w:r>
      <w:r>
        <w:t xml:space="preserve"> </w:t>
      </w:r>
    </w:p>
    <w:p w:rsidR="00861B29" w:rsidRDefault="00861B29" w:rsidP="00861B29">
      <w:pPr>
        <w:pStyle w:val="a7"/>
        <w:ind w:firstLine="709"/>
        <w:jc w:val="both"/>
      </w:pPr>
      <w:r w:rsidRPr="002163D7">
        <w:lastRenderedPageBreak/>
        <w:t xml:space="preserve">Органам </w:t>
      </w:r>
      <w:r w:rsidR="00BC4455">
        <w:t>м</w:t>
      </w:r>
      <w:r w:rsidR="00DD6D15">
        <w:t>естного самоуправления</w:t>
      </w:r>
      <w:r w:rsidRPr="002163D7">
        <w:t xml:space="preserve">, в которых выплаты и иные вознаграждения в пользу физических лиц (по отдельным категориям) превышают предельную величину базы для начисления страховых взносов в </w:t>
      </w:r>
      <w:r>
        <w:t>Фонд пенсионного и социального страхования Российской Федерации</w:t>
      </w:r>
      <w:r w:rsidRPr="002163D7">
        <w:t>,</w:t>
      </w:r>
      <w:r>
        <w:t xml:space="preserve"> </w:t>
      </w:r>
      <w:r w:rsidRPr="002163D7">
        <w:t xml:space="preserve"> бюджетные ассигнования по начислениям на выплаты по оплате труда определяются с учетом регрессионной шкалы начислений.</w:t>
      </w:r>
    </w:p>
    <w:p w:rsidR="00861B29" w:rsidRPr="002163D7" w:rsidRDefault="00BC4455" w:rsidP="00861B29">
      <w:pPr>
        <w:pStyle w:val="a7"/>
        <w:ind w:firstLine="709"/>
        <w:jc w:val="both"/>
      </w:pPr>
      <w:r>
        <w:t>9</w:t>
      </w:r>
      <w:r w:rsidR="00861B29" w:rsidRPr="002163D7">
        <w:t>. Затраты на уплату налога на имущество, транспортного и земельного налогов рассчитываются иным методом в соответствии с налоговым законодательством.</w:t>
      </w:r>
    </w:p>
    <w:p w:rsidR="00861B29" w:rsidRDefault="00861B29" w:rsidP="00861B29">
      <w:pPr>
        <w:pStyle w:val="a7"/>
        <w:ind w:firstLine="709"/>
        <w:jc w:val="both"/>
      </w:pPr>
      <w:r w:rsidRPr="009B58C0">
        <w:t>В качестве объекта налогообложения по налогам, уплачиваемым  бюджетными учреждениями</w:t>
      </w:r>
      <w:r w:rsidR="00DC68EC" w:rsidRPr="00DC68EC">
        <w:rPr>
          <w:szCs w:val="28"/>
        </w:rPr>
        <w:t xml:space="preserve"> </w:t>
      </w:r>
      <w:r w:rsidR="00DC68EC">
        <w:rPr>
          <w:szCs w:val="28"/>
        </w:rPr>
        <w:t>округа</w:t>
      </w:r>
      <w:r w:rsidRPr="009B58C0">
        <w:t xml:space="preserve">, учитывается </w:t>
      </w:r>
      <w:r>
        <w:t xml:space="preserve">закрепленное за ними </w:t>
      </w:r>
      <w:r w:rsidRPr="009B58C0">
        <w:t>недвижимое  имущество</w:t>
      </w:r>
      <w:r w:rsidRPr="0065620B">
        <w:t xml:space="preserve"> (</w:t>
      </w:r>
      <w:r>
        <w:t>включая</w:t>
      </w:r>
      <w:r w:rsidRPr="009B58C0">
        <w:t xml:space="preserve"> земельные участки</w:t>
      </w:r>
      <w:r>
        <w:t>)</w:t>
      </w:r>
      <w:r w:rsidRPr="009B58C0">
        <w:t xml:space="preserve"> </w:t>
      </w:r>
      <w:r>
        <w:t xml:space="preserve">и транспортные средства, в том числе указанное имущество, приобретенное такими учреждениями за счет средств, выделенных  учредителем на его приобретение, </w:t>
      </w:r>
      <w:r w:rsidRPr="009B58C0">
        <w:t>за вычетом соответствующего имущества, сдаваемого в аренду с согласия учредителя.</w:t>
      </w:r>
    </w:p>
    <w:p w:rsidR="00861B29" w:rsidRDefault="00861B29" w:rsidP="00861B29">
      <w:pPr>
        <w:pStyle w:val="a7"/>
        <w:ind w:firstLine="709"/>
        <w:jc w:val="both"/>
      </w:pPr>
      <w:r>
        <w:t>В качестве объекта налогообложения по налогам, уплачиваемым главными распорядителями и казенными учреждениями</w:t>
      </w:r>
      <w:r w:rsidR="00DC68EC">
        <w:t xml:space="preserve"> округа</w:t>
      </w:r>
      <w:r>
        <w:t xml:space="preserve">, учитывается закрепленное за ними недвижимое имущество (включая земельные участки) и транспортные средства. </w:t>
      </w:r>
    </w:p>
    <w:p w:rsidR="00861B29" w:rsidRPr="002163D7" w:rsidRDefault="00861B29" w:rsidP="00861B29">
      <w:pPr>
        <w:pStyle w:val="a7"/>
        <w:ind w:firstLine="709"/>
        <w:jc w:val="both"/>
      </w:pPr>
      <w:r w:rsidRPr="002163D7">
        <w:t>1</w:t>
      </w:r>
      <w:r w:rsidR="00F76A2B">
        <w:t>0</w:t>
      </w:r>
      <w:r w:rsidRPr="002163D7">
        <w:t>. Бюджетные ассигнования на исполнение публичных обязательств перед физическим лицом в денежной форме, полномочия по исполнению которых переданы в установленном порядке бюджетным  учреждениям</w:t>
      </w:r>
      <w:r w:rsidR="00DC68EC" w:rsidRPr="00DC68EC">
        <w:rPr>
          <w:szCs w:val="28"/>
        </w:rPr>
        <w:t xml:space="preserve"> </w:t>
      </w:r>
      <w:r w:rsidR="00DC68EC">
        <w:rPr>
          <w:szCs w:val="28"/>
        </w:rPr>
        <w:t>округа</w:t>
      </w:r>
      <w:r w:rsidRPr="002163D7">
        <w:t xml:space="preserve">, рассчитываются в соответствии с </w:t>
      </w:r>
      <w:r w:rsidRPr="000620CD">
        <w:t>действующими нормативными правовыми актами Челябинской области</w:t>
      </w:r>
      <w:r w:rsidR="00F76A2B">
        <w:t xml:space="preserve"> и</w:t>
      </w:r>
      <w:r w:rsidR="00F76A2B" w:rsidRPr="00F76A2B">
        <w:rPr>
          <w:szCs w:val="28"/>
        </w:rPr>
        <w:t xml:space="preserve"> </w:t>
      </w:r>
      <w:proofErr w:type="spellStart"/>
      <w:r w:rsidR="00F76A2B" w:rsidRPr="00AF5542">
        <w:rPr>
          <w:szCs w:val="28"/>
        </w:rPr>
        <w:t>Аргаяшско</w:t>
      </w:r>
      <w:r w:rsidR="00F76A2B">
        <w:rPr>
          <w:szCs w:val="28"/>
        </w:rPr>
        <w:t>го</w:t>
      </w:r>
      <w:proofErr w:type="spellEnd"/>
      <w:r w:rsidR="00F76A2B">
        <w:rPr>
          <w:szCs w:val="28"/>
        </w:rPr>
        <w:t xml:space="preserve"> </w:t>
      </w:r>
      <w:r w:rsidR="00F76A2B" w:rsidRPr="00AF5542">
        <w:rPr>
          <w:szCs w:val="28"/>
        </w:rPr>
        <w:t>муниципально</w:t>
      </w:r>
      <w:r w:rsidR="00F76A2B">
        <w:rPr>
          <w:szCs w:val="28"/>
        </w:rPr>
        <w:t>го</w:t>
      </w:r>
      <w:r w:rsidR="00F76A2B" w:rsidRPr="00AF5542">
        <w:rPr>
          <w:szCs w:val="28"/>
        </w:rPr>
        <w:t xml:space="preserve"> </w:t>
      </w:r>
      <w:r w:rsidR="00DC68EC">
        <w:rPr>
          <w:szCs w:val="28"/>
        </w:rPr>
        <w:t>округа</w:t>
      </w:r>
      <w:r w:rsidRPr="000620CD">
        <w:t>,</w:t>
      </w:r>
      <w:r w:rsidR="00F76A2B">
        <w:t xml:space="preserve"> </w:t>
      </w:r>
      <w:r w:rsidRPr="000620CD">
        <w:t xml:space="preserve">с </w:t>
      </w:r>
      <w:proofErr w:type="gramStart"/>
      <w:r w:rsidRPr="000620CD">
        <w:t>учетом</w:t>
      </w:r>
      <w:proofErr w:type="gramEnd"/>
      <w:r w:rsidRPr="000620CD">
        <w:t xml:space="preserve"> установленного в них порядка индексации соответствующих выплат и положений настоящего раздела.</w:t>
      </w:r>
    </w:p>
    <w:p w:rsidR="00861B29" w:rsidRDefault="00861B29" w:rsidP="00861B29">
      <w:pPr>
        <w:pStyle w:val="a7"/>
        <w:ind w:firstLine="709"/>
        <w:jc w:val="both"/>
      </w:pPr>
      <w:r w:rsidRPr="00C16B93">
        <w:rPr>
          <w:szCs w:val="28"/>
        </w:rPr>
        <w:t>1</w:t>
      </w:r>
      <w:r w:rsidR="00F76A2B">
        <w:rPr>
          <w:szCs w:val="28"/>
        </w:rPr>
        <w:t>1</w:t>
      </w:r>
      <w:r w:rsidRPr="00C16B93">
        <w:rPr>
          <w:szCs w:val="28"/>
        </w:rPr>
        <w:t xml:space="preserve">. </w:t>
      </w:r>
      <w:proofErr w:type="gramStart"/>
      <w:r w:rsidRPr="00C16B93">
        <w:t>Планирование бюджетных ассигнований на обеспечение деятельности</w:t>
      </w:r>
      <w:r w:rsidRPr="00464266">
        <w:t xml:space="preserve"> </w:t>
      </w:r>
      <w:r w:rsidR="0055600B">
        <w:t xml:space="preserve">муниципальных </w:t>
      </w:r>
      <w:r w:rsidRPr="00464266">
        <w:t xml:space="preserve">казенных учреждений, а также на предоставление субсидий </w:t>
      </w:r>
      <w:r w:rsidR="0055600B">
        <w:t>муниципальным бю</w:t>
      </w:r>
      <w:r w:rsidRPr="00464266">
        <w:t xml:space="preserve">джетным </w:t>
      </w:r>
      <w:r w:rsidR="0055600B">
        <w:t xml:space="preserve">и автономным </w:t>
      </w:r>
      <w:r w:rsidRPr="00464266">
        <w:t xml:space="preserve">учреждениям на финансовое обеспечение выполнения ими </w:t>
      </w:r>
      <w:r w:rsidR="00F76A2B">
        <w:t>муниципальных</w:t>
      </w:r>
      <w:r w:rsidRPr="00464266">
        <w:t xml:space="preserve"> заданий в части оказания </w:t>
      </w:r>
      <w:r w:rsidR="00F76A2B">
        <w:t>муниципальных</w:t>
      </w:r>
      <w:r w:rsidRPr="00464266">
        <w:t xml:space="preserve"> услуг (выполнения работ) (далее именуется – бюджетные ассигнования на оказание </w:t>
      </w:r>
      <w:r w:rsidR="003C49EF">
        <w:t>муниципаль</w:t>
      </w:r>
      <w:r w:rsidRPr="00464266">
        <w:t>ных услуг) осуществляется в рамках предельного объема бюджетных ассигнований, доведенного на</w:t>
      </w:r>
      <w:r w:rsidRPr="002163D7">
        <w:t xml:space="preserve"> указанные цели </w:t>
      </w:r>
      <w:r w:rsidR="00F76A2B">
        <w:t>Финансовым управлением</w:t>
      </w:r>
      <w:r w:rsidRPr="002163D7">
        <w:t xml:space="preserve">, исходя из необходимости обеспечения </w:t>
      </w:r>
      <w:proofErr w:type="spellStart"/>
      <w:r>
        <w:t>приоритизации</w:t>
      </w:r>
      <w:proofErr w:type="spellEnd"/>
      <w:r>
        <w:t xml:space="preserve"> </w:t>
      </w:r>
      <w:r w:rsidRPr="002163D7">
        <w:t>и</w:t>
      </w:r>
      <w:proofErr w:type="gramEnd"/>
      <w:r w:rsidRPr="002163D7">
        <w:t xml:space="preserve"> повышения эффективности бюджетных расходов и финансового обеспечения в полном объеме первоочередных обязательств</w:t>
      </w:r>
      <w:r>
        <w:t xml:space="preserve">, в том числе </w:t>
      </w:r>
      <w:r w:rsidR="005671FF">
        <w:t>муниципальных</w:t>
      </w:r>
      <w:r>
        <w:t xml:space="preserve"> проектов в соответствии с их утвержденными паспортами</w:t>
      </w:r>
      <w:r w:rsidRPr="002163D7">
        <w:t>.</w:t>
      </w:r>
    </w:p>
    <w:p w:rsidR="00861B29" w:rsidRDefault="00861B29" w:rsidP="00861B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131C">
        <w:rPr>
          <w:sz w:val="28"/>
          <w:szCs w:val="28"/>
        </w:rPr>
        <w:t xml:space="preserve">Не допускается распределение бюджетных ассигнований на оказание </w:t>
      </w:r>
      <w:r w:rsidR="00C062AE" w:rsidRPr="00DC68EC">
        <w:rPr>
          <w:sz w:val="28"/>
          <w:szCs w:val="28"/>
        </w:rPr>
        <w:t>муниципальных</w:t>
      </w:r>
      <w:r w:rsidRPr="0001131C">
        <w:rPr>
          <w:sz w:val="28"/>
          <w:szCs w:val="28"/>
        </w:rPr>
        <w:t xml:space="preserve"> услуг </w:t>
      </w:r>
      <w:r w:rsidRPr="0001131C">
        <w:rPr>
          <w:rFonts w:eastAsia="Calibri"/>
          <w:sz w:val="28"/>
          <w:szCs w:val="28"/>
          <w:lang w:eastAsia="en-US"/>
        </w:rPr>
        <w:t xml:space="preserve">в отношении </w:t>
      </w:r>
      <w:r w:rsidR="00C062AE" w:rsidRPr="00DC68EC">
        <w:rPr>
          <w:sz w:val="28"/>
          <w:szCs w:val="28"/>
        </w:rPr>
        <w:t>муниципальных</w:t>
      </w:r>
      <w:r w:rsidRPr="0001131C">
        <w:rPr>
          <w:rFonts w:eastAsia="Calibri"/>
          <w:sz w:val="28"/>
          <w:szCs w:val="28"/>
          <w:lang w:eastAsia="en-US"/>
        </w:rPr>
        <w:t xml:space="preserve"> услуг (работ),</w:t>
      </w:r>
      <w:r w:rsidRPr="0001131C">
        <w:rPr>
          <w:rFonts w:eastAsia="Calibri"/>
          <w:sz w:val="28"/>
          <w:szCs w:val="28"/>
        </w:rPr>
        <w:t xml:space="preserve"> </w:t>
      </w:r>
      <w:r w:rsidRPr="0001131C">
        <w:rPr>
          <w:rFonts w:eastAsia="Calibri"/>
          <w:spacing w:val="-8"/>
          <w:sz w:val="28"/>
          <w:szCs w:val="28"/>
          <w:lang w:eastAsia="en-US"/>
        </w:rPr>
        <w:t>не включенных</w:t>
      </w:r>
      <w:r w:rsidRPr="0001131C">
        <w:rPr>
          <w:rFonts w:eastAsia="Calibri"/>
          <w:sz w:val="28"/>
          <w:szCs w:val="28"/>
          <w:lang w:eastAsia="en-US"/>
        </w:rPr>
        <w:t xml:space="preserve"> </w:t>
      </w:r>
      <w:r w:rsidRPr="0001131C">
        <w:rPr>
          <w:rFonts w:eastAsia="Calibri"/>
          <w:spacing w:val="-9"/>
          <w:sz w:val="28"/>
          <w:szCs w:val="28"/>
          <w:lang w:eastAsia="en-US"/>
        </w:rPr>
        <w:t>в общероссийские базовые (отраслевые) перечни (классификаторы) государственных</w:t>
      </w:r>
      <w:r w:rsidRPr="0001131C">
        <w:rPr>
          <w:rFonts w:eastAsia="Calibri"/>
          <w:sz w:val="28"/>
          <w:szCs w:val="28"/>
          <w:lang w:eastAsia="en-US"/>
        </w:rPr>
        <w:t xml:space="preserve"> и муниципальных услуг, оказываемых физическим лицам, </w:t>
      </w:r>
      <w:r w:rsidRPr="0001131C">
        <w:rPr>
          <w:sz w:val="28"/>
          <w:szCs w:val="28"/>
        </w:rPr>
        <w:t>и регионального перечня (классификатора) государственных (муниципальных) услуг и работ.</w:t>
      </w:r>
    </w:p>
    <w:p w:rsidR="00B74C80" w:rsidRDefault="00861B29" w:rsidP="00B74C80">
      <w:pPr>
        <w:pStyle w:val="a7"/>
        <w:ind w:firstLine="709"/>
        <w:jc w:val="both"/>
      </w:pPr>
      <w:r w:rsidRPr="002163D7">
        <w:lastRenderedPageBreak/>
        <w:t>1</w:t>
      </w:r>
      <w:r w:rsidR="00C062AE">
        <w:t>2</w:t>
      </w:r>
      <w:r w:rsidRPr="002163D7">
        <w:t>. Бюджетные ассигнования на финансирование дорожного хозяйства на 20</w:t>
      </w:r>
      <w:r>
        <w:t>2</w:t>
      </w:r>
      <w:r w:rsidR="00DC68EC">
        <w:t>6</w:t>
      </w:r>
      <w:r w:rsidRPr="002163D7">
        <w:t xml:space="preserve"> год и на плановый период 20</w:t>
      </w:r>
      <w:r>
        <w:t>2</w:t>
      </w:r>
      <w:r w:rsidR="00DC68EC">
        <w:t>7</w:t>
      </w:r>
      <w:r w:rsidRPr="002163D7">
        <w:t xml:space="preserve"> и 202</w:t>
      </w:r>
      <w:r w:rsidR="00DC68EC">
        <w:t>8</w:t>
      </w:r>
      <w:r w:rsidRPr="002163D7">
        <w:t xml:space="preserve"> годов определяются иным методом в соответствии с </w:t>
      </w:r>
      <w:r w:rsidR="00B74C80">
        <w:t>решением Собрания депутатов</w:t>
      </w:r>
      <w:r w:rsidR="00B74C80" w:rsidRPr="003A368F">
        <w:t xml:space="preserve"> </w:t>
      </w:r>
      <w:proofErr w:type="spellStart"/>
      <w:r w:rsidR="00B74C80" w:rsidRPr="00C35AC3">
        <w:rPr>
          <w:szCs w:val="28"/>
          <w:lang w:eastAsia="ru-RU"/>
        </w:rPr>
        <w:t>Аргаяшского</w:t>
      </w:r>
      <w:proofErr w:type="spellEnd"/>
      <w:r w:rsidR="00B74C80" w:rsidRPr="00C35AC3">
        <w:rPr>
          <w:szCs w:val="28"/>
          <w:lang w:eastAsia="ru-RU"/>
        </w:rPr>
        <w:t xml:space="preserve"> муниципального </w:t>
      </w:r>
      <w:r w:rsidR="00DC68EC">
        <w:rPr>
          <w:szCs w:val="28"/>
        </w:rPr>
        <w:t>округа</w:t>
      </w:r>
      <w:r w:rsidR="00B74C80" w:rsidRPr="00C35AC3">
        <w:rPr>
          <w:szCs w:val="28"/>
        </w:rPr>
        <w:t xml:space="preserve"> </w:t>
      </w:r>
      <w:r w:rsidR="00B74C80" w:rsidRPr="003A368F">
        <w:t xml:space="preserve">«О </w:t>
      </w:r>
      <w:r w:rsidR="00B74C80">
        <w:t>создании муниципального д</w:t>
      </w:r>
      <w:r w:rsidR="00B74C80" w:rsidRPr="003A368F">
        <w:t>орожно</w:t>
      </w:r>
      <w:r w:rsidR="00B74C80">
        <w:t>го</w:t>
      </w:r>
      <w:r w:rsidR="00B74C80" w:rsidRPr="003A368F">
        <w:t xml:space="preserve"> фонд</w:t>
      </w:r>
      <w:r w:rsidR="00B74C80">
        <w:t xml:space="preserve">а и утверждении порядка формирования и использования муниципального дорожного фонда </w:t>
      </w:r>
      <w:r w:rsidR="00B74C80" w:rsidRPr="003A368F">
        <w:t xml:space="preserve"> </w:t>
      </w:r>
      <w:proofErr w:type="spellStart"/>
      <w:r w:rsidR="00B74C80" w:rsidRPr="00C35AC3">
        <w:rPr>
          <w:szCs w:val="28"/>
          <w:lang w:eastAsia="ru-RU"/>
        </w:rPr>
        <w:t>Аргаяшского</w:t>
      </w:r>
      <w:proofErr w:type="spellEnd"/>
      <w:r w:rsidR="00B74C80" w:rsidRPr="00C35AC3">
        <w:rPr>
          <w:szCs w:val="28"/>
          <w:lang w:eastAsia="ru-RU"/>
        </w:rPr>
        <w:t xml:space="preserve"> муниципального </w:t>
      </w:r>
      <w:r w:rsidR="00DC68EC">
        <w:rPr>
          <w:szCs w:val="28"/>
        </w:rPr>
        <w:t>округа</w:t>
      </w:r>
      <w:r w:rsidR="00B74C80" w:rsidRPr="003A368F">
        <w:t>».</w:t>
      </w:r>
    </w:p>
    <w:p w:rsidR="00861B29" w:rsidRDefault="00861B29" w:rsidP="00861B29">
      <w:pPr>
        <w:pStyle w:val="a7"/>
        <w:ind w:firstLine="709"/>
        <w:jc w:val="both"/>
      </w:pPr>
      <w:r w:rsidRPr="00F56FCC">
        <w:t>1</w:t>
      </w:r>
      <w:r w:rsidR="00B74C80">
        <w:t>3</w:t>
      </w:r>
      <w:r w:rsidRPr="00F56FCC">
        <w:t>. Объем субвенций местным бюджетам определяется в соответствии с утвержденными законами Челябинской области методиками.</w:t>
      </w:r>
    </w:p>
    <w:p w:rsidR="00861B29" w:rsidRDefault="00861B29" w:rsidP="00861B29">
      <w:pPr>
        <w:pStyle w:val="a7"/>
        <w:ind w:firstLine="709"/>
        <w:jc w:val="both"/>
      </w:pPr>
      <w:r w:rsidRPr="00FB6A60">
        <w:t>1</w:t>
      </w:r>
      <w:r w:rsidR="00B74C80">
        <w:t>4</w:t>
      </w:r>
      <w:r w:rsidRPr="00FB6A60">
        <w:t xml:space="preserve">. Бюджетные ассигнования на обслуживание </w:t>
      </w:r>
      <w:r w:rsidR="00B74C80" w:rsidRPr="00C35AC3">
        <w:rPr>
          <w:szCs w:val="28"/>
          <w:lang w:eastAsia="ru-RU"/>
        </w:rPr>
        <w:t>муниципального</w:t>
      </w:r>
      <w:r w:rsidRPr="00FB6A60">
        <w:t xml:space="preserve"> долга </w:t>
      </w:r>
      <w:proofErr w:type="spellStart"/>
      <w:r w:rsidR="00B74C80" w:rsidRPr="00C35AC3">
        <w:rPr>
          <w:szCs w:val="28"/>
          <w:lang w:eastAsia="ru-RU"/>
        </w:rPr>
        <w:t>Аргаяшского</w:t>
      </w:r>
      <w:proofErr w:type="spellEnd"/>
      <w:r w:rsidR="00B74C80" w:rsidRPr="00C35AC3">
        <w:rPr>
          <w:szCs w:val="28"/>
          <w:lang w:eastAsia="ru-RU"/>
        </w:rPr>
        <w:t xml:space="preserve"> муниципального </w:t>
      </w:r>
      <w:r w:rsidR="00DC68EC">
        <w:rPr>
          <w:szCs w:val="28"/>
        </w:rPr>
        <w:t>округа</w:t>
      </w:r>
      <w:r w:rsidR="00B74C80" w:rsidRPr="00FB6A60">
        <w:t xml:space="preserve"> </w:t>
      </w:r>
      <w:r w:rsidRPr="00FB6A60">
        <w:t xml:space="preserve">рассчитываются плановым методом в соответствии с договорами (соглашениями), определяющими условия </w:t>
      </w:r>
      <w:r w:rsidR="007174F9">
        <w:t>муниципальных</w:t>
      </w:r>
      <w:r w:rsidRPr="00FB6A60">
        <w:t xml:space="preserve"> долговых обязательств, а также исходя из прогнозируемого объема заимствований для финансирования дефицита бюджета </w:t>
      </w:r>
      <w:r w:rsidR="00C95DDE">
        <w:rPr>
          <w:szCs w:val="28"/>
        </w:rPr>
        <w:t>округа</w:t>
      </w:r>
      <w:r w:rsidR="00C95DDE" w:rsidRPr="00FB6A60">
        <w:t xml:space="preserve"> </w:t>
      </w:r>
      <w:r w:rsidRPr="00FB6A60">
        <w:t>и погашения долговых обязательств.</w:t>
      </w:r>
    </w:p>
    <w:p w:rsidR="00861B29" w:rsidRDefault="00861B29" w:rsidP="00861B29">
      <w:pPr>
        <w:pStyle w:val="a7"/>
        <w:ind w:firstLine="709"/>
        <w:jc w:val="both"/>
      </w:pPr>
      <w:r>
        <w:t>1</w:t>
      </w:r>
      <w:r w:rsidR="002D120D">
        <w:t>5</w:t>
      </w:r>
      <w:r>
        <w:t xml:space="preserve">. Объемы бюджетных ассигнований на обеспечение условий </w:t>
      </w:r>
      <w:proofErr w:type="spellStart"/>
      <w:r>
        <w:t>софинансирования</w:t>
      </w:r>
      <w:proofErr w:type="spellEnd"/>
      <w:r>
        <w:t xml:space="preserve"> предоставляемых из </w:t>
      </w:r>
      <w:r w:rsidR="002D120D">
        <w:t>областного</w:t>
      </w:r>
      <w:r>
        <w:t xml:space="preserve"> бюджета целевых межбюджетных трансфертов рассчитываются с учетом установленных Правительством </w:t>
      </w:r>
      <w:r w:rsidR="002D120D">
        <w:t>Челябинской области</w:t>
      </w:r>
      <w:r>
        <w:t xml:space="preserve"> на 202</w:t>
      </w:r>
      <w:r w:rsidR="00C95DDE">
        <w:t>6</w:t>
      </w:r>
      <w:r>
        <w:t>-202</w:t>
      </w:r>
      <w:r w:rsidR="00C95DDE">
        <w:t>8</w:t>
      </w:r>
      <w:r>
        <w:t xml:space="preserve"> годы предельных уровней </w:t>
      </w:r>
      <w:proofErr w:type="spellStart"/>
      <w:r>
        <w:t>софинансирования</w:t>
      </w:r>
      <w:proofErr w:type="spellEnd"/>
      <w:r>
        <w:t xml:space="preserve"> расходных обязательств </w:t>
      </w:r>
      <w:proofErr w:type="spellStart"/>
      <w:r w:rsidR="00161F0D" w:rsidRPr="00C35AC3">
        <w:rPr>
          <w:szCs w:val="28"/>
          <w:lang w:eastAsia="ru-RU"/>
        </w:rPr>
        <w:t>Аргаяшского</w:t>
      </w:r>
      <w:proofErr w:type="spellEnd"/>
      <w:r w:rsidR="00161F0D" w:rsidRPr="00C35AC3">
        <w:rPr>
          <w:szCs w:val="28"/>
          <w:lang w:eastAsia="ru-RU"/>
        </w:rPr>
        <w:t xml:space="preserve"> муниципального </w:t>
      </w:r>
      <w:r w:rsidR="00C95DDE">
        <w:rPr>
          <w:szCs w:val="28"/>
        </w:rPr>
        <w:t>округа</w:t>
      </w:r>
      <w:r w:rsidR="00161F0D" w:rsidRPr="00FB6A60">
        <w:t xml:space="preserve"> </w:t>
      </w:r>
      <w:r>
        <w:t xml:space="preserve">из </w:t>
      </w:r>
      <w:r w:rsidR="00161F0D">
        <w:t>областного</w:t>
      </w:r>
      <w:r>
        <w:t xml:space="preserve"> бюджета</w:t>
      </w:r>
      <w:r w:rsidRPr="00611AB8">
        <w:t xml:space="preserve"> </w:t>
      </w:r>
      <w:r w:rsidRPr="003C49EF">
        <w:t xml:space="preserve">и (или) условий </w:t>
      </w:r>
      <w:proofErr w:type="spellStart"/>
      <w:r w:rsidRPr="003C49EF">
        <w:t>софинасирования</w:t>
      </w:r>
      <w:proofErr w:type="spellEnd"/>
      <w:r w:rsidRPr="003C49EF">
        <w:t xml:space="preserve"> указанных расходов, предусмотренных соглашениями (проектами соглашений) с </w:t>
      </w:r>
      <w:r w:rsidR="00161F0D" w:rsidRPr="003C49EF">
        <w:t>областными</w:t>
      </w:r>
      <w:r w:rsidRPr="003C49EF">
        <w:t xml:space="preserve"> органами исполнительной власти.</w:t>
      </w:r>
      <w:r>
        <w:t xml:space="preserve"> </w:t>
      </w:r>
    </w:p>
    <w:p w:rsidR="00861B29" w:rsidRPr="008F5B6D" w:rsidRDefault="00161F0D" w:rsidP="00861B29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8F5B6D">
        <w:rPr>
          <w:sz w:val="28"/>
          <w:szCs w:val="28"/>
        </w:rPr>
        <w:t>16</w:t>
      </w:r>
      <w:r w:rsidR="00861B29" w:rsidRPr="008F5B6D">
        <w:rPr>
          <w:sz w:val="28"/>
          <w:szCs w:val="28"/>
        </w:rPr>
        <w:t xml:space="preserve">. </w:t>
      </w:r>
      <w:proofErr w:type="gramStart"/>
      <w:r w:rsidR="00861B29" w:rsidRPr="008F5B6D">
        <w:rPr>
          <w:sz w:val="28"/>
          <w:szCs w:val="28"/>
        </w:rPr>
        <w:t xml:space="preserve">Бюджетные ассигнования на реализацию </w:t>
      </w:r>
      <w:r w:rsidR="00861B29" w:rsidRPr="008F5B6D">
        <w:rPr>
          <w:sz w:val="28"/>
          <w:szCs w:val="28"/>
          <w:lang w:eastAsia="zh-CN"/>
        </w:rPr>
        <w:t xml:space="preserve">мероприятий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определяются в объеме не менее планируемых доходов бюджета </w:t>
      </w:r>
      <w:r w:rsidR="00C95DDE" w:rsidRPr="008F5B6D">
        <w:rPr>
          <w:sz w:val="28"/>
          <w:szCs w:val="28"/>
        </w:rPr>
        <w:t>округа</w:t>
      </w:r>
      <w:r w:rsidR="00C95DDE" w:rsidRPr="008F5B6D">
        <w:rPr>
          <w:sz w:val="28"/>
          <w:szCs w:val="28"/>
          <w:lang w:eastAsia="zh-CN"/>
        </w:rPr>
        <w:t xml:space="preserve"> </w:t>
      </w:r>
      <w:r w:rsidR="00861B29" w:rsidRPr="008F5B6D">
        <w:rPr>
          <w:sz w:val="28"/>
          <w:szCs w:val="28"/>
          <w:lang w:eastAsia="zh-CN"/>
        </w:rPr>
        <w:t>от платежей по искам о возмещении вреда, причиненного окружающей среде вследствие нарушений обязательных требований, а также платежей при</w:t>
      </w:r>
      <w:proofErr w:type="gramEnd"/>
      <w:r w:rsidR="00861B29" w:rsidRPr="008F5B6D">
        <w:rPr>
          <w:sz w:val="28"/>
          <w:szCs w:val="28"/>
          <w:lang w:eastAsia="zh-CN"/>
        </w:rPr>
        <w:t xml:space="preserve"> </w:t>
      </w:r>
      <w:proofErr w:type="gramStart"/>
      <w:r w:rsidR="00861B29" w:rsidRPr="008F5B6D">
        <w:rPr>
          <w:sz w:val="28"/>
          <w:szCs w:val="28"/>
          <w:lang w:eastAsia="zh-CN"/>
        </w:rPr>
        <w:t>добровольном возмещении вреда, причиненного окружающей среде вследствие нарушения обязательных требований (за исключением средств от платежей по искам о возмещении вреда, причиненного окружающей среде вследствие нарушений обязательных требований на особо охраняемых природных территориях федерального значения, а также от платежей, уплачиваемых при добровольном возмещении вреда, причиненного окружающей среде вследствие нарушений обязательных требований на особо охраняемых природных территориях федерального значения), и средств от</w:t>
      </w:r>
      <w:proofErr w:type="gramEnd"/>
      <w:r w:rsidR="00861B29" w:rsidRPr="008F5B6D">
        <w:rPr>
          <w:sz w:val="28"/>
          <w:szCs w:val="28"/>
          <w:lang w:eastAsia="zh-CN"/>
        </w:rPr>
        <w:t xml:space="preserve"> административных штрафов за административные правонарушения в области охраны окружающей среды и природопользования (за исключением административных штрафов, налагаемых за указанные правонарушения на особо охраняемых природных территориях федерального значения). </w:t>
      </w:r>
    </w:p>
    <w:p w:rsidR="00861B29" w:rsidRPr="008F5B6D" w:rsidRDefault="00861B29" w:rsidP="00861B29">
      <w:pPr>
        <w:suppressAutoHyphens/>
        <w:ind w:firstLine="709"/>
        <w:jc w:val="both"/>
        <w:rPr>
          <w:sz w:val="28"/>
          <w:szCs w:val="28"/>
          <w:lang w:eastAsia="zh-CN"/>
        </w:rPr>
      </w:pPr>
      <w:proofErr w:type="gramStart"/>
      <w:r w:rsidRPr="008F5B6D">
        <w:rPr>
          <w:sz w:val="28"/>
          <w:szCs w:val="28"/>
          <w:lang w:eastAsia="zh-CN"/>
        </w:rPr>
        <w:t xml:space="preserve">Бюджетные ассигнования, указанные в абзаце первом настоящего пункта, в первоочередном порядке направляются на выявление и оценку объектов накопленного вреда окружающей среде и (или) организацию работ </w:t>
      </w:r>
      <w:r w:rsidRPr="008F5B6D">
        <w:rPr>
          <w:sz w:val="28"/>
          <w:szCs w:val="28"/>
          <w:lang w:eastAsia="zh-CN"/>
        </w:rPr>
        <w:lastRenderedPageBreak/>
        <w:t xml:space="preserve">по ликвидации накопленного вреда окружающей среде в случае наличия на территории </w:t>
      </w:r>
      <w:bookmarkStart w:id="0" w:name="_GoBack"/>
      <w:bookmarkEnd w:id="0"/>
      <w:proofErr w:type="spellStart"/>
      <w:r w:rsidR="00161F0D" w:rsidRPr="008F5B6D">
        <w:rPr>
          <w:sz w:val="28"/>
          <w:szCs w:val="28"/>
        </w:rPr>
        <w:t>Аргаяшского</w:t>
      </w:r>
      <w:proofErr w:type="spellEnd"/>
      <w:r w:rsidR="00161F0D" w:rsidRPr="008F5B6D">
        <w:rPr>
          <w:sz w:val="28"/>
          <w:szCs w:val="28"/>
        </w:rPr>
        <w:t xml:space="preserve"> муниципального</w:t>
      </w:r>
      <w:r w:rsidR="00161F0D" w:rsidRPr="008F5B6D">
        <w:rPr>
          <w:szCs w:val="28"/>
        </w:rPr>
        <w:t xml:space="preserve"> </w:t>
      </w:r>
      <w:r w:rsidR="00C07F88" w:rsidRPr="008F5B6D">
        <w:rPr>
          <w:sz w:val="28"/>
          <w:szCs w:val="28"/>
        </w:rPr>
        <w:t>округа</w:t>
      </w:r>
      <w:r w:rsidR="00161F0D" w:rsidRPr="008F5B6D">
        <w:rPr>
          <w:sz w:val="28"/>
          <w:szCs w:val="28"/>
          <w:lang w:eastAsia="zh-CN"/>
        </w:rPr>
        <w:t xml:space="preserve"> </w:t>
      </w:r>
      <w:r w:rsidRPr="008F5B6D">
        <w:rPr>
          <w:sz w:val="28"/>
          <w:szCs w:val="28"/>
          <w:lang w:eastAsia="zh-CN"/>
        </w:rPr>
        <w:t>объектов накопленного вреда окружающей среде, а в случае их отсутствия – на иные мероприятия по предотвращению и (или) снижению негативного воздействия хозяйственной</w:t>
      </w:r>
      <w:proofErr w:type="gramEnd"/>
      <w:r w:rsidRPr="008F5B6D">
        <w:rPr>
          <w:sz w:val="28"/>
          <w:szCs w:val="28"/>
          <w:lang w:eastAsia="zh-CN"/>
        </w:rPr>
        <w:t xml:space="preserve">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безопасности. </w:t>
      </w:r>
    </w:p>
    <w:p w:rsidR="00861B29" w:rsidRDefault="00161F0D" w:rsidP="00861B29">
      <w:pPr>
        <w:pStyle w:val="a7"/>
        <w:ind w:firstLine="709"/>
        <w:jc w:val="both"/>
      </w:pPr>
      <w:r>
        <w:t>17</w:t>
      </w:r>
      <w:r w:rsidR="00861B29" w:rsidRPr="002163D7">
        <w:t>. В составе предельных объемов бюджетных ассигнований на 20</w:t>
      </w:r>
      <w:r w:rsidR="00861B29">
        <w:t>2</w:t>
      </w:r>
      <w:r w:rsidR="00870679">
        <w:t>6</w:t>
      </w:r>
      <w:r w:rsidR="00861B29" w:rsidRPr="002163D7">
        <w:t xml:space="preserve"> год и на плановый период 20</w:t>
      </w:r>
      <w:r w:rsidR="00861B29">
        <w:t>2</w:t>
      </w:r>
      <w:r w:rsidR="00870679">
        <w:t>7</w:t>
      </w:r>
      <w:r w:rsidR="00861B29" w:rsidRPr="002163D7">
        <w:t xml:space="preserve"> и 202</w:t>
      </w:r>
      <w:r w:rsidR="00870679">
        <w:t>8</w:t>
      </w:r>
      <w:r w:rsidR="00861B29" w:rsidRPr="002163D7">
        <w:t xml:space="preserve"> годов </w:t>
      </w:r>
      <w:r w:rsidR="00861B29">
        <w:t xml:space="preserve">(далее именуются – предельные объемы бюджетных ассигнований) </w:t>
      </w:r>
      <w:r w:rsidR="00861B29" w:rsidRPr="002163D7">
        <w:t>резервируются:</w:t>
      </w:r>
    </w:p>
    <w:p w:rsidR="00861B29" w:rsidRPr="00BF721D" w:rsidRDefault="00861B29" w:rsidP="00861B29">
      <w:pPr>
        <w:ind w:firstLine="709"/>
        <w:jc w:val="both"/>
        <w:rPr>
          <w:sz w:val="28"/>
          <w:szCs w:val="28"/>
        </w:rPr>
      </w:pPr>
      <w:r w:rsidRPr="00BF721D">
        <w:rPr>
          <w:sz w:val="28"/>
          <w:szCs w:val="28"/>
        </w:rPr>
        <w:t>1) средства на обеспечение своевременной и полной выплаты заработной платы - для финансового обеспечения своевременной и полной выплаты заработной платы</w:t>
      </w:r>
      <w:r>
        <w:rPr>
          <w:sz w:val="28"/>
          <w:szCs w:val="28"/>
        </w:rPr>
        <w:t xml:space="preserve">, </w:t>
      </w:r>
      <w:r w:rsidRPr="00BF721D">
        <w:rPr>
          <w:sz w:val="28"/>
          <w:szCs w:val="28"/>
        </w:rPr>
        <w:t xml:space="preserve">в том числе </w:t>
      </w:r>
      <w:r>
        <w:rPr>
          <w:sz w:val="28"/>
          <w:szCs w:val="28"/>
        </w:rPr>
        <w:t xml:space="preserve">с </w:t>
      </w:r>
      <w:r w:rsidRPr="00BF721D">
        <w:rPr>
          <w:sz w:val="28"/>
          <w:szCs w:val="28"/>
        </w:rPr>
        <w:t>учетом сохранения на достигнутом уровне целевых показателей указов Президента Российской Федерации 2012 года в части оплаты труда отдельных категорий граждан</w:t>
      </w:r>
      <w:r>
        <w:rPr>
          <w:sz w:val="28"/>
          <w:szCs w:val="28"/>
        </w:rPr>
        <w:t>,</w:t>
      </w:r>
      <w:r w:rsidRPr="00BF721D">
        <w:rPr>
          <w:sz w:val="28"/>
          <w:szCs w:val="28"/>
        </w:rPr>
        <w:t xml:space="preserve"> повышения минимального </w:t>
      </w:r>
      <w:proofErr w:type="gramStart"/>
      <w:r w:rsidRPr="00BF721D">
        <w:rPr>
          <w:sz w:val="28"/>
          <w:szCs w:val="28"/>
        </w:rPr>
        <w:t>размера оплаты труда</w:t>
      </w:r>
      <w:proofErr w:type="gramEnd"/>
      <w:r w:rsidRPr="00BF721D">
        <w:rPr>
          <w:sz w:val="28"/>
          <w:szCs w:val="28"/>
        </w:rPr>
        <w:t>;</w:t>
      </w:r>
    </w:p>
    <w:p w:rsidR="00861B29" w:rsidRPr="002163D7" w:rsidRDefault="00861B29" w:rsidP="00861B29">
      <w:pPr>
        <w:pStyle w:val="a7"/>
        <w:numPr>
          <w:ilvl w:val="0"/>
          <w:numId w:val="6"/>
        </w:numPr>
        <w:ind w:left="0" w:firstLine="709"/>
        <w:jc w:val="both"/>
      </w:pPr>
      <w:r w:rsidRPr="002163D7">
        <w:t xml:space="preserve">бюджетные ассигнования на уплату налога на имущество организаций, земельного и транспортного налогов главными распорядителями и </w:t>
      </w:r>
      <w:r w:rsidR="007174F9">
        <w:t xml:space="preserve">муниципальными </w:t>
      </w:r>
      <w:r w:rsidRPr="002163D7">
        <w:t xml:space="preserve">казенными учреждениями, а также </w:t>
      </w:r>
      <w:r w:rsidR="007174F9">
        <w:t xml:space="preserve">муниципальными </w:t>
      </w:r>
      <w:r w:rsidRPr="002163D7">
        <w:t xml:space="preserve">бюджетными и автономными учреждениями в отношении закрепленного за ними </w:t>
      </w:r>
      <w:r w:rsidRPr="001B63E0">
        <w:t>недвижимого имущества и транспортных средств - в связи с прогнозируемым</w:t>
      </w:r>
      <w:r w:rsidRPr="002163D7">
        <w:t xml:space="preserve"> увеличением налоговой базы;</w:t>
      </w:r>
    </w:p>
    <w:p w:rsidR="00861B29" w:rsidRPr="002163D7" w:rsidRDefault="00861B29" w:rsidP="00861B29">
      <w:pPr>
        <w:pStyle w:val="a7"/>
        <w:numPr>
          <w:ilvl w:val="0"/>
          <w:numId w:val="6"/>
        </w:numPr>
        <w:ind w:left="0" w:firstLine="709"/>
        <w:jc w:val="both"/>
      </w:pPr>
      <w:r w:rsidRPr="002163D7">
        <w:t xml:space="preserve">бюджетные ассигнования на исполнение судебных решений по искам к </w:t>
      </w:r>
      <w:proofErr w:type="spellStart"/>
      <w:r w:rsidR="00CA74DE" w:rsidRPr="00C35AC3">
        <w:rPr>
          <w:szCs w:val="28"/>
          <w:lang w:eastAsia="ru-RU"/>
        </w:rPr>
        <w:t>Аргаяшско</w:t>
      </w:r>
      <w:r w:rsidR="00CA74DE">
        <w:rPr>
          <w:szCs w:val="28"/>
          <w:lang w:eastAsia="ru-RU"/>
        </w:rPr>
        <w:t>му</w:t>
      </w:r>
      <w:proofErr w:type="spellEnd"/>
      <w:r w:rsidR="00CA74DE" w:rsidRPr="00C35AC3">
        <w:rPr>
          <w:szCs w:val="28"/>
          <w:lang w:eastAsia="ru-RU"/>
        </w:rPr>
        <w:t xml:space="preserve"> муниципально</w:t>
      </w:r>
      <w:r w:rsidR="00CA74DE">
        <w:rPr>
          <w:szCs w:val="28"/>
          <w:lang w:eastAsia="ru-RU"/>
        </w:rPr>
        <w:t>му</w:t>
      </w:r>
      <w:r w:rsidR="00CA74DE" w:rsidRPr="00C35AC3">
        <w:rPr>
          <w:szCs w:val="28"/>
          <w:lang w:eastAsia="ru-RU"/>
        </w:rPr>
        <w:t xml:space="preserve"> </w:t>
      </w:r>
      <w:r w:rsidR="00870679">
        <w:rPr>
          <w:szCs w:val="28"/>
        </w:rPr>
        <w:t>округу</w:t>
      </w:r>
      <w:r w:rsidRPr="002163D7">
        <w:t xml:space="preserve">, удовлетворяемых за счет казны </w:t>
      </w:r>
      <w:proofErr w:type="spellStart"/>
      <w:r w:rsidR="00CA74DE" w:rsidRPr="00C35AC3">
        <w:rPr>
          <w:szCs w:val="28"/>
          <w:lang w:eastAsia="ru-RU"/>
        </w:rPr>
        <w:t>Аргаяшского</w:t>
      </w:r>
      <w:proofErr w:type="spellEnd"/>
      <w:r w:rsidR="00CA74DE" w:rsidRPr="00C35AC3">
        <w:rPr>
          <w:szCs w:val="28"/>
          <w:lang w:eastAsia="ru-RU"/>
        </w:rPr>
        <w:t xml:space="preserve"> муниципального </w:t>
      </w:r>
      <w:r w:rsidR="00870679">
        <w:rPr>
          <w:szCs w:val="28"/>
        </w:rPr>
        <w:t>округа</w:t>
      </w:r>
      <w:r w:rsidRPr="002163D7">
        <w:t>;</w:t>
      </w:r>
    </w:p>
    <w:p w:rsidR="00861B29" w:rsidRPr="009B015D" w:rsidRDefault="00861B29" w:rsidP="00861B29">
      <w:pPr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lang w:eastAsia="en-US"/>
        </w:rPr>
      </w:pPr>
      <w:r w:rsidRPr="002163D7">
        <w:rPr>
          <w:sz w:val="28"/>
          <w:lang w:eastAsia="en-US"/>
        </w:rPr>
        <w:t xml:space="preserve">бюджетные ассигнования резервного фонда </w:t>
      </w:r>
      <w:r w:rsidR="00CA74DE">
        <w:rPr>
          <w:sz w:val="28"/>
          <w:lang w:eastAsia="en-US"/>
        </w:rPr>
        <w:t xml:space="preserve">администрации </w:t>
      </w:r>
      <w:proofErr w:type="spellStart"/>
      <w:r w:rsidR="00CA74DE" w:rsidRPr="00870679">
        <w:rPr>
          <w:sz w:val="28"/>
          <w:szCs w:val="28"/>
        </w:rPr>
        <w:t>Аргаяшского</w:t>
      </w:r>
      <w:proofErr w:type="spellEnd"/>
      <w:r w:rsidR="00CA74DE" w:rsidRPr="00870679">
        <w:rPr>
          <w:sz w:val="28"/>
          <w:szCs w:val="28"/>
        </w:rPr>
        <w:t xml:space="preserve"> муниципального</w:t>
      </w:r>
      <w:r w:rsidR="00CA74DE" w:rsidRPr="00C35AC3">
        <w:rPr>
          <w:szCs w:val="28"/>
        </w:rPr>
        <w:t xml:space="preserve"> </w:t>
      </w:r>
      <w:r w:rsidR="00870679">
        <w:rPr>
          <w:sz w:val="28"/>
          <w:szCs w:val="28"/>
        </w:rPr>
        <w:t>округа</w:t>
      </w:r>
      <w:r w:rsidR="00CA74DE" w:rsidRPr="002163D7">
        <w:rPr>
          <w:sz w:val="28"/>
          <w:lang w:eastAsia="en-US"/>
        </w:rPr>
        <w:t xml:space="preserve"> </w:t>
      </w:r>
      <w:r w:rsidRPr="002163D7">
        <w:rPr>
          <w:sz w:val="28"/>
          <w:lang w:eastAsia="en-US"/>
        </w:rPr>
        <w:t>– для финансового обеспечения непредвиденных расходов бюджета</w:t>
      </w:r>
      <w:r w:rsidR="00870679" w:rsidRPr="00870679">
        <w:rPr>
          <w:sz w:val="28"/>
          <w:szCs w:val="28"/>
        </w:rPr>
        <w:t xml:space="preserve"> </w:t>
      </w:r>
      <w:r w:rsidR="00870679">
        <w:rPr>
          <w:sz w:val="28"/>
          <w:szCs w:val="28"/>
        </w:rPr>
        <w:t>округа</w:t>
      </w:r>
      <w:r w:rsidR="007174F9">
        <w:rPr>
          <w:sz w:val="28"/>
          <w:szCs w:val="28"/>
        </w:rPr>
        <w:t>,</w:t>
      </w:r>
      <w:r w:rsidRPr="002163D7">
        <w:rPr>
          <w:sz w:val="28"/>
          <w:lang w:eastAsia="en-US"/>
        </w:rPr>
        <w:t xml:space="preserve">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</w:t>
      </w:r>
      <w:r>
        <w:rPr>
          <w:sz w:val="28"/>
          <w:lang w:eastAsia="en-US"/>
        </w:rPr>
        <w:t>.</w:t>
      </w:r>
    </w:p>
    <w:p w:rsidR="00861B29" w:rsidRDefault="00861B29" w:rsidP="00861B29">
      <w:pPr>
        <w:autoSpaceDE w:val="0"/>
        <w:autoSpaceDN w:val="0"/>
        <w:adjustRightInd w:val="0"/>
        <w:ind w:left="709"/>
        <w:jc w:val="both"/>
        <w:rPr>
          <w:sz w:val="28"/>
          <w:lang w:eastAsia="en-US"/>
        </w:rPr>
      </w:pPr>
    </w:p>
    <w:p w:rsidR="00861B29" w:rsidRDefault="00861B29" w:rsidP="00861B29">
      <w:pPr>
        <w:autoSpaceDE w:val="0"/>
        <w:autoSpaceDN w:val="0"/>
        <w:adjustRightInd w:val="0"/>
        <w:ind w:left="709"/>
        <w:jc w:val="both"/>
        <w:rPr>
          <w:sz w:val="28"/>
          <w:lang w:eastAsia="en-US"/>
        </w:rPr>
      </w:pPr>
    </w:p>
    <w:p w:rsidR="00861B29" w:rsidRPr="009B015D" w:rsidRDefault="00861B29" w:rsidP="00861B29">
      <w:pPr>
        <w:pStyle w:val="a7"/>
        <w:ind w:left="709"/>
        <w:jc w:val="center"/>
      </w:pPr>
      <w:r w:rsidRPr="00CD56D3">
        <w:rPr>
          <w:lang w:val="en-US"/>
        </w:rPr>
        <w:t>III</w:t>
      </w:r>
      <w:r w:rsidRPr="00CD56D3">
        <w:t>. Порядок формирования и согласования предложений по распределению (перераспределению) бюджетных ассигнований по кодам классификации расходов бюджетов</w:t>
      </w:r>
    </w:p>
    <w:p w:rsidR="00861B29" w:rsidRPr="002163D7" w:rsidRDefault="00861B29" w:rsidP="00861B29">
      <w:pPr>
        <w:pStyle w:val="a7"/>
        <w:ind w:left="709"/>
        <w:jc w:val="center"/>
      </w:pPr>
    </w:p>
    <w:p w:rsidR="00861B29" w:rsidRDefault="00071245" w:rsidP="00861B29">
      <w:pPr>
        <w:pStyle w:val="a7"/>
        <w:ind w:firstLine="709"/>
        <w:jc w:val="both"/>
      </w:pPr>
      <w:r>
        <w:t>18</w:t>
      </w:r>
      <w:r w:rsidR="00861B29" w:rsidRPr="002163D7">
        <w:t xml:space="preserve">. </w:t>
      </w:r>
      <w:proofErr w:type="gramStart"/>
      <w:r w:rsidR="00861B29" w:rsidRPr="002163D7">
        <w:t>Формирование возвратного распределения предельных объемов бюджетных ассигнований осуществляется главным</w:t>
      </w:r>
      <w:r w:rsidR="00861B29">
        <w:t>и</w:t>
      </w:r>
      <w:r w:rsidR="00861B29" w:rsidRPr="002163D7">
        <w:t xml:space="preserve"> распорядител</w:t>
      </w:r>
      <w:r w:rsidR="00861B29">
        <w:t>ями</w:t>
      </w:r>
      <w:r w:rsidR="00861B29" w:rsidRPr="002163D7">
        <w:t xml:space="preserve"> в сроки, установленные Графиком подготовки и рассмотрения материалов, необходимых для составления проекта </w:t>
      </w:r>
      <w:r>
        <w:t xml:space="preserve">решения о бюджете </w:t>
      </w:r>
      <w:proofErr w:type="spellStart"/>
      <w:r w:rsidRPr="00C35AC3">
        <w:rPr>
          <w:szCs w:val="28"/>
          <w:lang w:eastAsia="ru-RU"/>
        </w:rPr>
        <w:t>Аргаяшского</w:t>
      </w:r>
      <w:proofErr w:type="spellEnd"/>
      <w:r w:rsidRPr="00C35AC3">
        <w:rPr>
          <w:szCs w:val="28"/>
          <w:lang w:eastAsia="ru-RU"/>
        </w:rPr>
        <w:t xml:space="preserve"> муниципального </w:t>
      </w:r>
      <w:r w:rsidR="00F63170">
        <w:rPr>
          <w:szCs w:val="28"/>
        </w:rPr>
        <w:t xml:space="preserve">округа </w:t>
      </w:r>
      <w:r w:rsidRPr="002163D7">
        <w:t xml:space="preserve"> </w:t>
      </w:r>
      <w:r w:rsidR="00861B29" w:rsidRPr="002163D7">
        <w:t>на 20</w:t>
      </w:r>
      <w:r w:rsidR="00861B29">
        <w:t>2</w:t>
      </w:r>
      <w:r w:rsidR="00F63170">
        <w:t>6</w:t>
      </w:r>
      <w:r w:rsidR="00861B29" w:rsidRPr="002163D7">
        <w:t xml:space="preserve"> год и на плановый период 20</w:t>
      </w:r>
      <w:r w:rsidR="00861B29">
        <w:t>2</w:t>
      </w:r>
      <w:r w:rsidR="00F63170">
        <w:t>7</w:t>
      </w:r>
      <w:r w:rsidR="00861B29" w:rsidRPr="002163D7">
        <w:t xml:space="preserve"> и 202</w:t>
      </w:r>
      <w:r w:rsidR="00F63170">
        <w:t>8</w:t>
      </w:r>
      <w:r w:rsidR="00861B29" w:rsidRPr="002163D7">
        <w:t xml:space="preserve"> годов, утвержденным </w:t>
      </w:r>
      <w:r w:rsidR="00861B29">
        <w:t xml:space="preserve">распоряжением </w:t>
      </w:r>
      <w:r>
        <w:t xml:space="preserve">Администрации </w:t>
      </w:r>
      <w:proofErr w:type="spellStart"/>
      <w:r w:rsidRPr="00C35AC3">
        <w:rPr>
          <w:szCs w:val="28"/>
          <w:lang w:eastAsia="ru-RU"/>
        </w:rPr>
        <w:t>Аргаяшского</w:t>
      </w:r>
      <w:proofErr w:type="spellEnd"/>
      <w:r w:rsidRPr="00C35AC3">
        <w:rPr>
          <w:szCs w:val="28"/>
          <w:lang w:eastAsia="ru-RU"/>
        </w:rPr>
        <w:t xml:space="preserve"> муниципального района</w:t>
      </w:r>
      <w:r w:rsidR="00861B29">
        <w:t xml:space="preserve"> от </w:t>
      </w:r>
      <w:r w:rsidR="00E24CE0">
        <w:t>1</w:t>
      </w:r>
      <w:r w:rsidR="00F63170">
        <w:t>3</w:t>
      </w:r>
      <w:r w:rsidR="00861B29">
        <w:t>.0</w:t>
      </w:r>
      <w:r w:rsidR="00E24CE0">
        <w:t>5</w:t>
      </w:r>
      <w:r w:rsidR="00861B29">
        <w:t>.202</w:t>
      </w:r>
      <w:r w:rsidR="00F63170">
        <w:t>5</w:t>
      </w:r>
      <w:r w:rsidR="00861B29">
        <w:t xml:space="preserve"> № </w:t>
      </w:r>
      <w:r w:rsidR="00F63170">
        <w:t>98</w:t>
      </w:r>
      <w:r w:rsidR="00E24CE0">
        <w:t>1</w:t>
      </w:r>
      <w:r w:rsidR="00861B29">
        <w:t xml:space="preserve">-р </w:t>
      </w:r>
      <w:r w:rsidR="00861B29" w:rsidRPr="000D6AC4">
        <w:t>(далее именуется – График составления бюджета).</w:t>
      </w:r>
      <w:proofErr w:type="gramEnd"/>
    </w:p>
    <w:p w:rsidR="00861B29" w:rsidRPr="002163D7" w:rsidRDefault="00071245" w:rsidP="00861B29">
      <w:pPr>
        <w:pStyle w:val="a7"/>
        <w:ind w:firstLine="709"/>
        <w:jc w:val="both"/>
      </w:pPr>
      <w:r>
        <w:lastRenderedPageBreak/>
        <w:t>19</w:t>
      </w:r>
      <w:r w:rsidR="00861B29" w:rsidRPr="002163D7">
        <w:t>. Предложения главных распорядителей по распределению (перераспределению) бюджетных ассигнований формируются в</w:t>
      </w:r>
      <w:r w:rsidR="00861B29">
        <w:t xml:space="preserve"> пределах доведенных </w:t>
      </w:r>
      <w:r>
        <w:t>Финансовым управлением</w:t>
      </w:r>
      <w:r w:rsidR="00861B29">
        <w:t xml:space="preserve"> предельных объемов бюджетных ассигнований </w:t>
      </w:r>
      <w:r w:rsidR="00C12C16">
        <w:t>в форме обоснований бюджетных ассигнований (далее – Обоснование) согласно приложению 1 к настоящей Методике.</w:t>
      </w:r>
      <w:r w:rsidR="00861B29" w:rsidRPr="002163D7">
        <w:t xml:space="preserve"> </w:t>
      </w:r>
    </w:p>
    <w:p w:rsidR="00861B29" w:rsidRDefault="00BA34A8" w:rsidP="00861B29">
      <w:pPr>
        <w:pStyle w:val="a7"/>
        <w:ind w:firstLine="709"/>
        <w:jc w:val="both"/>
      </w:pPr>
      <w:r>
        <w:t>20</w:t>
      </w:r>
      <w:r w:rsidR="00861B29" w:rsidRPr="002163D7">
        <w:t>.</w:t>
      </w:r>
      <w:r w:rsidR="00861B29">
        <w:t xml:space="preserve"> Одновременно с возвратным распределением предельных объемов бюджетных ассигнований главные распорядители представляют в </w:t>
      </w:r>
      <w:r w:rsidR="00726A0B">
        <w:t>Финансовое управление</w:t>
      </w:r>
      <w:r w:rsidR="00861B29">
        <w:t xml:space="preserve"> сведения о сводных показателях </w:t>
      </w:r>
      <w:r w:rsidR="00726A0B">
        <w:t>муниципальных</w:t>
      </w:r>
      <w:r w:rsidR="00861B29">
        <w:t xml:space="preserve"> заданий на оказание </w:t>
      </w:r>
      <w:r w:rsidR="00726A0B">
        <w:t>муниципальных</w:t>
      </w:r>
      <w:r w:rsidR="00861B29">
        <w:t xml:space="preserve"> услуг (выполнение работ) </w:t>
      </w:r>
      <w:r w:rsidR="00726A0B">
        <w:t>муниципальными</w:t>
      </w:r>
      <w:r w:rsidR="00861B29">
        <w:t xml:space="preserve"> учреждениями </w:t>
      </w:r>
      <w:r w:rsidR="00F63170">
        <w:t xml:space="preserve">округа </w:t>
      </w:r>
      <w:r w:rsidR="00861B29">
        <w:t xml:space="preserve">по </w:t>
      </w:r>
      <w:r w:rsidR="00861B29" w:rsidRPr="00E144FD">
        <w:t xml:space="preserve">форме согласно приложению </w:t>
      </w:r>
      <w:r w:rsidR="00726A0B">
        <w:t>2</w:t>
      </w:r>
      <w:r w:rsidR="00861B29" w:rsidRPr="00E144FD">
        <w:t xml:space="preserve"> к настоящей Методике.</w:t>
      </w:r>
    </w:p>
    <w:p w:rsidR="00861B29" w:rsidRPr="002163D7" w:rsidRDefault="00861B29" w:rsidP="00861B29">
      <w:pPr>
        <w:pStyle w:val="a7"/>
        <w:ind w:firstLine="709"/>
        <w:jc w:val="both"/>
      </w:pPr>
      <w:r w:rsidRPr="000B5012">
        <w:t>Свод</w:t>
      </w:r>
      <w:r>
        <w:t>ы</w:t>
      </w:r>
      <w:r w:rsidRPr="000B5012">
        <w:t xml:space="preserve"> показателей представля</w:t>
      </w:r>
      <w:r>
        <w:t>ют</w:t>
      </w:r>
      <w:r w:rsidRPr="000B5012">
        <w:t xml:space="preserve">ся главными распорядителями в </w:t>
      </w:r>
      <w:r w:rsidR="00726A0B">
        <w:t>Финансовое управление</w:t>
      </w:r>
      <w:r w:rsidR="00726A0B" w:rsidRPr="000B5012">
        <w:t xml:space="preserve"> </w:t>
      </w:r>
      <w:r w:rsidRPr="000B5012">
        <w:t xml:space="preserve">не позднее </w:t>
      </w:r>
      <w:r w:rsidR="00BA34A8">
        <w:t>01</w:t>
      </w:r>
      <w:r w:rsidRPr="000B5012">
        <w:t xml:space="preserve"> </w:t>
      </w:r>
      <w:r w:rsidR="00BA34A8">
        <w:t>ноября</w:t>
      </w:r>
      <w:r w:rsidRPr="000B5012">
        <w:t xml:space="preserve"> 20</w:t>
      </w:r>
      <w:r>
        <w:t>2</w:t>
      </w:r>
      <w:r w:rsidR="00FF5941">
        <w:t>4</w:t>
      </w:r>
      <w:r w:rsidRPr="000B5012">
        <w:t xml:space="preserve"> года</w:t>
      </w:r>
      <w:r>
        <w:t xml:space="preserve"> (пункт </w:t>
      </w:r>
      <w:r w:rsidR="00BA34A8">
        <w:t>3</w:t>
      </w:r>
      <w:r w:rsidR="00F63170">
        <w:t>1</w:t>
      </w:r>
      <w:r w:rsidRPr="000B5012">
        <w:t xml:space="preserve"> Графика составления бюджета</w:t>
      </w:r>
      <w:r>
        <w:t>)</w:t>
      </w:r>
      <w:r w:rsidRPr="000B5012">
        <w:t>.</w:t>
      </w:r>
    </w:p>
    <w:p w:rsidR="00861B29" w:rsidRDefault="00861B29" w:rsidP="00861B29">
      <w:pPr>
        <w:pStyle w:val="a7"/>
        <w:ind w:firstLine="709"/>
        <w:jc w:val="both"/>
      </w:pPr>
      <w:r>
        <w:t>2</w:t>
      </w:r>
      <w:r w:rsidR="00BA34A8">
        <w:t>1</w:t>
      </w:r>
      <w:r>
        <w:t xml:space="preserve">. </w:t>
      </w:r>
      <w:proofErr w:type="gramStart"/>
      <w:r>
        <w:t xml:space="preserve">В срок не позднее </w:t>
      </w:r>
      <w:r w:rsidR="00F12837">
        <w:t>01 ноября</w:t>
      </w:r>
      <w:r>
        <w:t xml:space="preserve"> 202</w:t>
      </w:r>
      <w:r w:rsidR="00F63170">
        <w:t>5</w:t>
      </w:r>
      <w:r>
        <w:t xml:space="preserve"> года главные распорядители в</w:t>
      </w:r>
      <w:r w:rsidRPr="00C40F5E">
        <w:t xml:space="preserve"> соответствии </w:t>
      </w:r>
      <w:r w:rsidRPr="00E072D6">
        <w:t xml:space="preserve">с пунктом </w:t>
      </w:r>
      <w:r w:rsidR="00F63170">
        <w:t>29</w:t>
      </w:r>
      <w:r w:rsidRPr="00C40F5E">
        <w:t xml:space="preserve"> Графика составления бюджета направляют в </w:t>
      </w:r>
      <w:r w:rsidR="00F12837">
        <w:t xml:space="preserve">Финансовое управление </w:t>
      </w:r>
      <w:r w:rsidRPr="003C49EF">
        <w:t>(при необходимости) дополнительные</w:t>
      </w:r>
      <w:r>
        <w:t xml:space="preserve"> </w:t>
      </w:r>
      <w:r w:rsidRPr="00C40F5E">
        <w:t>предложения по перечн</w:t>
      </w:r>
      <w:r>
        <w:t>ю</w:t>
      </w:r>
      <w:r w:rsidRPr="00C40F5E">
        <w:t xml:space="preserve"> и код</w:t>
      </w:r>
      <w:r>
        <w:t>ам</w:t>
      </w:r>
      <w:r w:rsidRPr="00C40F5E">
        <w:t xml:space="preserve"> целевых статей расходов </w:t>
      </w:r>
      <w:r w:rsidR="0081284C">
        <w:t>районного</w:t>
      </w:r>
      <w:r w:rsidRPr="00C40F5E">
        <w:t xml:space="preserve"> бюджета на 202</w:t>
      </w:r>
      <w:r w:rsidR="00F63170">
        <w:t>6</w:t>
      </w:r>
      <w:r w:rsidRPr="00C40F5E">
        <w:t xml:space="preserve"> год и на плановый период 202</w:t>
      </w:r>
      <w:r w:rsidR="00F63170">
        <w:t>7</w:t>
      </w:r>
      <w:r w:rsidRPr="00C40F5E">
        <w:t xml:space="preserve"> и 202</w:t>
      </w:r>
      <w:r w:rsidR="00F63170">
        <w:t>8</w:t>
      </w:r>
      <w:r w:rsidRPr="00C40F5E">
        <w:t xml:space="preserve"> годов, подготовленные </w:t>
      </w:r>
      <w:r>
        <w:t xml:space="preserve">в соответствии с согласованным </w:t>
      </w:r>
      <w:r w:rsidR="006652E8">
        <w:t>Управлением по экономике</w:t>
      </w:r>
      <w:r w:rsidR="006652E8" w:rsidRPr="008F5980">
        <w:t xml:space="preserve"> </w:t>
      </w:r>
      <w:r w:rsidRPr="00C40F5E">
        <w:t>перечн</w:t>
      </w:r>
      <w:r>
        <w:t>ем</w:t>
      </w:r>
      <w:r w:rsidRPr="00C40F5E">
        <w:t xml:space="preserve"> </w:t>
      </w:r>
      <w:r w:rsidR="0081284C">
        <w:t>муниципальных</w:t>
      </w:r>
      <w:r w:rsidRPr="00C40F5E">
        <w:t xml:space="preserve"> программ</w:t>
      </w:r>
      <w:r>
        <w:t xml:space="preserve"> </w:t>
      </w:r>
      <w:proofErr w:type="spellStart"/>
      <w:r w:rsidR="0081284C" w:rsidRPr="00C35AC3">
        <w:rPr>
          <w:szCs w:val="28"/>
          <w:lang w:eastAsia="ru-RU"/>
        </w:rPr>
        <w:t>Аргаяшского</w:t>
      </w:r>
      <w:proofErr w:type="spellEnd"/>
      <w:r w:rsidR="0081284C" w:rsidRPr="00C35AC3">
        <w:rPr>
          <w:szCs w:val="28"/>
          <w:lang w:eastAsia="ru-RU"/>
        </w:rPr>
        <w:t xml:space="preserve"> муниципального </w:t>
      </w:r>
      <w:r w:rsidR="00F63170">
        <w:rPr>
          <w:szCs w:val="28"/>
        </w:rPr>
        <w:t>округа</w:t>
      </w:r>
      <w:r w:rsidR="0081284C">
        <w:rPr>
          <w:szCs w:val="28"/>
          <w:lang w:eastAsia="ru-RU"/>
        </w:rPr>
        <w:t>.</w:t>
      </w:r>
      <w:proofErr w:type="gramEnd"/>
    </w:p>
    <w:p w:rsidR="00861B29" w:rsidRPr="00861B29" w:rsidRDefault="00861B29" w:rsidP="00861B29">
      <w:pPr>
        <w:pStyle w:val="a7"/>
        <w:ind w:firstLine="709"/>
        <w:jc w:val="both"/>
      </w:pPr>
      <w:proofErr w:type="gramStart"/>
      <w:r w:rsidRPr="00AE49C2">
        <w:t>Предложения по курируемым направлениям направляются в форме сопоставительных таблиц целевых статей расходов, применяемых при исполнении бюджета</w:t>
      </w:r>
      <w:r w:rsidR="00F63170">
        <w:t xml:space="preserve"> округа</w:t>
      </w:r>
      <w:r w:rsidRPr="00AE49C2">
        <w:t xml:space="preserve"> в 202</w:t>
      </w:r>
      <w:r w:rsidR="00F63170">
        <w:t>5</w:t>
      </w:r>
      <w:r w:rsidRPr="00AE49C2">
        <w:t xml:space="preserve"> году, к применя</w:t>
      </w:r>
      <w:r w:rsidR="0081284C">
        <w:t>е</w:t>
      </w:r>
      <w:r w:rsidRPr="00AE49C2">
        <w:t>мым в 202</w:t>
      </w:r>
      <w:r w:rsidR="00F63170">
        <w:t>6</w:t>
      </w:r>
      <w:r w:rsidRPr="00AE49C2">
        <w:t xml:space="preserve"> году и плановом периоде 202</w:t>
      </w:r>
      <w:r w:rsidR="00F63170">
        <w:t>7</w:t>
      </w:r>
      <w:r w:rsidRPr="00AE49C2">
        <w:t xml:space="preserve"> и 202</w:t>
      </w:r>
      <w:r w:rsidR="00F63170">
        <w:t>8</w:t>
      </w:r>
      <w:r w:rsidRPr="00AE49C2">
        <w:t xml:space="preserve"> годов, по форме согласно приложению </w:t>
      </w:r>
      <w:r w:rsidR="0081284C">
        <w:t>3</w:t>
      </w:r>
      <w:r w:rsidRPr="00AE49C2">
        <w:t xml:space="preserve"> к настоящей Методике.</w:t>
      </w:r>
      <w:proofErr w:type="gramEnd"/>
    </w:p>
    <w:p w:rsidR="00861B29" w:rsidRPr="00903179" w:rsidRDefault="00861B29" w:rsidP="00861B29">
      <w:pPr>
        <w:pStyle w:val="a7"/>
        <w:ind w:firstLine="709"/>
        <w:jc w:val="both"/>
      </w:pPr>
      <w:r w:rsidRPr="00903179">
        <w:t>2</w:t>
      </w:r>
      <w:r w:rsidR="009F2F62">
        <w:t>2</w:t>
      </w:r>
      <w:r w:rsidRPr="00903179">
        <w:t>. Не допускается перераспределение на другие направления расходов пр</w:t>
      </w:r>
      <w:r>
        <w:t>едельных объемов</w:t>
      </w:r>
      <w:r w:rsidRPr="00903179">
        <w:t xml:space="preserve"> бюджетных ассигнований, доведенных </w:t>
      </w:r>
      <w:r w:rsidR="0081284C">
        <w:t>Финансовым управлением</w:t>
      </w:r>
      <w:r w:rsidRPr="00903179">
        <w:t xml:space="preserve"> </w:t>
      </w:r>
      <w:proofErr w:type="gramStart"/>
      <w:r w:rsidRPr="00903179">
        <w:t>на</w:t>
      </w:r>
      <w:proofErr w:type="gramEnd"/>
      <w:r w:rsidRPr="00903179">
        <w:t>:</w:t>
      </w:r>
    </w:p>
    <w:p w:rsidR="00861B29" w:rsidRPr="00903179" w:rsidRDefault="00861B29" w:rsidP="00861B29">
      <w:pPr>
        <w:pStyle w:val="a7"/>
        <w:ind w:firstLine="709"/>
        <w:jc w:val="both"/>
      </w:pPr>
      <w:r w:rsidRPr="00903179">
        <w:t xml:space="preserve">реализацию </w:t>
      </w:r>
      <w:r w:rsidR="009F2F62">
        <w:t>муниципальных и приоритетных</w:t>
      </w:r>
      <w:r w:rsidRPr="00903179">
        <w:t xml:space="preserve"> проектов;</w:t>
      </w:r>
    </w:p>
    <w:p w:rsidR="00861B29" w:rsidRPr="00786E07" w:rsidRDefault="00861B29" w:rsidP="00861B29">
      <w:pPr>
        <w:pStyle w:val="a7"/>
        <w:ind w:firstLine="709"/>
        <w:jc w:val="both"/>
      </w:pPr>
      <w:r w:rsidRPr="00903179">
        <w:t>оплату труда и начисления на выплаты по оплате труда;</w:t>
      </w:r>
    </w:p>
    <w:p w:rsidR="00861B29" w:rsidRPr="00903179" w:rsidRDefault="00861B29" w:rsidP="00861B29">
      <w:pPr>
        <w:pStyle w:val="a7"/>
        <w:ind w:firstLine="709"/>
        <w:jc w:val="both"/>
      </w:pPr>
      <w:r w:rsidRPr="00903179">
        <w:t>выполнение публичных и публичных нормативных обязательств;</w:t>
      </w:r>
    </w:p>
    <w:p w:rsidR="00861B29" w:rsidRPr="00903179" w:rsidRDefault="00861B29" w:rsidP="00861B29">
      <w:pPr>
        <w:pStyle w:val="a7"/>
        <w:ind w:firstLine="709"/>
        <w:jc w:val="both"/>
      </w:pPr>
      <w:r w:rsidRPr="00903179">
        <w:t>уплату налога на имущество организаций, земельного и транспортного налогов;</w:t>
      </w:r>
    </w:p>
    <w:p w:rsidR="00861B29" w:rsidRPr="002163D7" w:rsidRDefault="00861B29" w:rsidP="00861B29">
      <w:pPr>
        <w:pStyle w:val="a7"/>
        <w:ind w:firstLine="709"/>
        <w:jc w:val="both"/>
      </w:pPr>
      <w:r>
        <w:t>выполнение поручений Президента Российской Федерации и Губернатора Челябинской области.</w:t>
      </w:r>
    </w:p>
    <w:p w:rsidR="00861B29" w:rsidRPr="008B0181" w:rsidRDefault="009F2F62" w:rsidP="00861B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3F32">
        <w:rPr>
          <w:sz w:val="28"/>
          <w:szCs w:val="28"/>
        </w:rPr>
        <w:t>3</w:t>
      </w:r>
      <w:r w:rsidR="00861B29" w:rsidRPr="002D4FBA">
        <w:rPr>
          <w:sz w:val="28"/>
          <w:szCs w:val="28"/>
        </w:rPr>
        <w:t>.</w:t>
      </w:r>
      <w:r w:rsidR="00861B29" w:rsidRPr="002D4FBA">
        <w:rPr>
          <w:snapToGrid w:val="0"/>
          <w:sz w:val="28"/>
          <w:szCs w:val="28"/>
        </w:rPr>
        <w:t xml:space="preserve"> </w:t>
      </w:r>
      <w:r w:rsidR="00861B29" w:rsidRPr="002D4FBA">
        <w:rPr>
          <w:sz w:val="28"/>
          <w:szCs w:val="28"/>
        </w:rPr>
        <w:t>Распределение бюджетных ассигнований на закупку товаров, работ и услуг осуществляется в соответствии с планом-графиком закупок.</w:t>
      </w:r>
    </w:p>
    <w:p w:rsidR="00861B29" w:rsidRDefault="00123BB1" w:rsidP="006652E8">
      <w:pPr>
        <w:ind w:firstLine="709"/>
        <w:jc w:val="both"/>
        <w:rPr>
          <w:sz w:val="28"/>
          <w:lang w:eastAsia="en-US"/>
        </w:rPr>
      </w:pPr>
      <w:r>
        <w:rPr>
          <w:sz w:val="28"/>
          <w:szCs w:val="28"/>
        </w:rPr>
        <w:t>2</w:t>
      </w:r>
      <w:r w:rsidR="008B0181">
        <w:rPr>
          <w:sz w:val="28"/>
          <w:szCs w:val="28"/>
        </w:rPr>
        <w:t>4</w:t>
      </w:r>
      <w:r w:rsidR="00861B29" w:rsidRPr="00E072D6">
        <w:rPr>
          <w:sz w:val="28"/>
          <w:szCs w:val="28"/>
        </w:rPr>
        <w:t xml:space="preserve">. </w:t>
      </w:r>
      <w:proofErr w:type="gramStart"/>
      <w:r w:rsidR="00861B29" w:rsidRPr="00E072D6">
        <w:rPr>
          <w:sz w:val="28"/>
          <w:szCs w:val="28"/>
        </w:rPr>
        <w:t xml:space="preserve">В срок не позднее </w:t>
      </w:r>
      <w:r>
        <w:rPr>
          <w:sz w:val="28"/>
          <w:szCs w:val="28"/>
        </w:rPr>
        <w:t>01 ноября</w:t>
      </w:r>
      <w:r w:rsidR="00861B29">
        <w:rPr>
          <w:sz w:val="28"/>
          <w:szCs w:val="28"/>
        </w:rPr>
        <w:t xml:space="preserve"> </w:t>
      </w:r>
      <w:r w:rsidR="00861B29" w:rsidRPr="00E072D6">
        <w:rPr>
          <w:sz w:val="28"/>
          <w:szCs w:val="28"/>
        </w:rPr>
        <w:t>202</w:t>
      </w:r>
      <w:r w:rsidR="009B3F32">
        <w:rPr>
          <w:sz w:val="28"/>
          <w:szCs w:val="28"/>
        </w:rPr>
        <w:t>5</w:t>
      </w:r>
      <w:r w:rsidR="00861B29" w:rsidRPr="00E072D6">
        <w:rPr>
          <w:sz w:val="28"/>
          <w:szCs w:val="28"/>
        </w:rPr>
        <w:t xml:space="preserve"> года в соответствии с пунктом </w:t>
      </w:r>
      <w:r>
        <w:rPr>
          <w:sz w:val="28"/>
          <w:szCs w:val="28"/>
        </w:rPr>
        <w:t>3</w:t>
      </w:r>
      <w:r w:rsidR="009B3F32">
        <w:rPr>
          <w:sz w:val="28"/>
          <w:szCs w:val="28"/>
        </w:rPr>
        <w:t>1</w:t>
      </w:r>
      <w:r w:rsidR="00861B29">
        <w:rPr>
          <w:sz w:val="28"/>
          <w:szCs w:val="28"/>
        </w:rPr>
        <w:t xml:space="preserve"> </w:t>
      </w:r>
      <w:r w:rsidR="00861B29" w:rsidRPr="00E072D6">
        <w:rPr>
          <w:sz w:val="28"/>
          <w:szCs w:val="28"/>
        </w:rPr>
        <w:t xml:space="preserve">Графика составления бюджета главные распорядители представляют в </w:t>
      </w:r>
      <w:r w:rsidR="006652E8">
        <w:rPr>
          <w:sz w:val="28"/>
          <w:lang w:eastAsia="en-US"/>
        </w:rPr>
        <w:t>Управление по экономике</w:t>
      </w:r>
      <w:r w:rsidR="006652E8" w:rsidRPr="008F5980">
        <w:t xml:space="preserve"> </w:t>
      </w:r>
      <w:r w:rsidR="00861B29" w:rsidRPr="00E072D6">
        <w:rPr>
          <w:sz w:val="28"/>
          <w:szCs w:val="28"/>
        </w:rPr>
        <w:t>сведения о планируемых объемах оказания</w:t>
      </w:r>
      <w:r w:rsidR="00861B29" w:rsidRPr="00C75E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</w:t>
      </w:r>
      <w:r w:rsidR="00861B29" w:rsidRPr="00C75E44">
        <w:rPr>
          <w:sz w:val="28"/>
          <w:szCs w:val="28"/>
        </w:rPr>
        <w:t xml:space="preserve">услуг (работ) </w:t>
      </w:r>
      <w:r w:rsidR="001C21A4">
        <w:rPr>
          <w:sz w:val="28"/>
          <w:szCs w:val="28"/>
        </w:rPr>
        <w:t xml:space="preserve">муниципальными </w:t>
      </w:r>
      <w:r>
        <w:rPr>
          <w:sz w:val="28"/>
          <w:szCs w:val="28"/>
        </w:rPr>
        <w:t xml:space="preserve">учреждениями, </w:t>
      </w:r>
      <w:r w:rsidR="00861B29" w:rsidRPr="00C75E44">
        <w:rPr>
          <w:sz w:val="28"/>
          <w:szCs w:val="28"/>
        </w:rPr>
        <w:t xml:space="preserve"> а также</w:t>
      </w:r>
      <w:r w:rsidR="00861B29" w:rsidRPr="002163D7">
        <w:rPr>
          <w:sz w:val="28"/>
          <w:szCs w:val="28"/>
        </w:rPr>
        <w:t xml:space="preserve"> о планируемых </w:t>
      </w:r>
      <w:r w:rsidR="00861B29">
        <w:rPr>
          <w:sz w:val="28"/>
          <w:szCs w:val="28"/>
        </w:rPr>
        <w:t xml:space="preserve">объемах бюджетных ассигнований на их финансовое обеспечение </w:t>
      </w:r>
      <w:r w:rsidR="00861B29" w:rsidRPr="002163D7">
        <w:rPr>
          <w:sz w:val="28"/>
          <w:szCs w:val="28"/>
        </w:rPr>
        <w:t>на 20</w:t>
      </w:r>
      <w:r w:rsidR="00861B29">
        <w:rPr>
          <w:sz w:val="28"/>
          <w:szCs w:val="28"/>
        </w:rPr>
        <w:t>2</w:t>
      </w:r>
      <w:r w:rsidR="009B3F32">
        <w:rPr>
          <w:sz w:val="28"/>
          <w:szCs w:val="28"/>
        </w:rPr>
        <w:t>6</w:t>
      </w:r>
      <w:r w:rsidR="00861B29" w:rsidRPr="002163D7">
        <w:rPr>
          <w:sz w:val="28"/>
          <w:szCs w:val="28"/>
        </w:rPr>
        <w:t>-202</w:t>
      </w:r>
      <w:r w:rsidR="009B3F32">
        <w:rPr>
          <w:sz w:val="28"/>
          <w:szCs w:val="28"/>
        </w:rPr>
        <w:t>8</w:t>
      </w:r>
      <w:r w:rsidR="00861B29" w:rsidRPr="002163D7">
        <w:rPr>
          <w:sz w:val="28"/>
          <w:szCs w:val="28"/>
        </w:rPr>
        <w:t xml:space="preserve"> </w:t>
      </w:r>
      <w:r w:rsidR="00861B29">
        <w:rPr>
          <w:sz w:val="28"/>
          <w:szCs w:val="28"/>
        </w:rPr>
        <w:t>годы</w:t>
      </w:r>
      <w:r w:rsidR="00861B29" w:rsidRPr="002163D7">
        <w:rPr>
          <w:sz w:val="28"/>
          <w:szCs w:val="28"/>
        </w:rPr>
        <w:t xml:space="preserve">, по </w:t>
      </w:r>
      <w:r w:rsidR="00861B29" w:rsidRPr="000404A8">
        <w:rPr>
          <w:sz w:val="28"/>
          <w:szCs w:val="28"/>
        </w:rPr>
        <w:t xml:space="preserve">формам, установленным </w:t>
      </w:r>
      <w:r w:rsidR="006652E8">
        <w:rPr>
          <w:sz w:val="28"/>
          <w:lang w:eastAsia="en-US"/>
        </w:rPr>
        <w:t>Управлением по экономике.</w:t>
      </w:r>
      <w:proofErr w:type="gramEnd"/>
    </w:p>
    <w:p w:rsidR="00C70283" w:rsidRDefault="00861B29" w:rsidP="00861B29">
      <w:pPr>
        <w:pStyle w:val="a7"/>
        <w:ind w:firstLine="720"/>
        <w:jc w:val="center"/>
        <w:rPr>
          <w:bCs/>
          <w:szCs w:val="28"/>
        </w:rPr>
      </w:pPr>
      <w:r w:rsidRPr="001E0316">
        <w:rPr>
          <w:lang w:val="en-US"/>
        </w:rPr>
        <w:lastRenderedPageBreak/>
        <w:t>IV</w:t>
      </w:r>
      <w:r w:rsidRPr="001E0316">
        <w:t xml:space="preserve">. Составление пояснительной записки в части, касающейся бюджетных ассигнований главного распорядителя (ответственного исполнителя соответствующих </w:t>
      </w:r>
      <w:r w:rsidR="001C21A4">
        <w:t xml:space="preserve">муниципальных программ </w:t>
      </w:r>
      <w:proofErr w:type="spellStart"/>
      <w:r w:rsidR="001C21A4">
        <w:t>Аргаяшского</w:t>
      </w:r>
      <w:proofErr w:type="spellEnd"/>
      <w:r w:rsidR="001C21A4">
        <w:t xml:space="preserve"> </w:t>
      </w:r>
      <w:r w:rsidR="00C70283" w:rsidRPr="00C35AC3">
        <w:rPr>
          <w:szCs w:val="28"/>
          <w:lang w:eastAsia="ru-RU"/>
        </w:rPr>
        <w:t>муниципального</w:t>
      </w:r>
      <w:r w:rsidR="00C70283">
        <w:t xml:space="preserve"> </w:t>
      </w:r>
      <w:r w:rsidR="009B3F32">
        <w:rPr>
          <w:szCs w:val="28"/>
        </w:rPr>
        <w:t>округа</w:t>
      </w:r>
      <w:r w:rsidRPr="001E0316">
        <w:t>)</w:t>
      </w:r>
      <w:r w:rsidR="00C70283">
        <w:t xml:space="preserve"> </w:t>
      </w:r>
      <w:r w:rsidRPr="001E0316">
        <w:rPr>
          <w:bCs/>
          <w:szCs w:val="28"/>
        </w:rPr>
        <w:t>на 202</w:t>
      </w:r>
      <w:r w:rsidR="009B3F32">
        <w:rPr>
          <w:bCs/>
          <w:szCs w:val="28"/>
        </w:rPr>
        <w:t>6</w:t>
      </w:r>
      <w:r w:rsidRPr="001E0316">
        <w:rPr>
          <w:bCs/>
          <w:szCs w:val="28"/>
        </w:rPr>
        <w:t xml:space="preserve"> год и на плановый период </w:t>
      </w:r>
    </w:p>
    <w:p w:rsidR="00861B29" w:rsidRDefault="00861B29" w:rsidP="00861B29">
      <w:pPr>
        <w:pStyle w:val="a7"/>
        <w:ind w:firstLine="720"/>
        <w:jc w:val="center"/>
        <w:rPr>
          <w:bCs/>
          <w:szCs w:val="28"/>
        </w:rPr>
      </w:pPr>
      <w:r w:rsidRPr="001E0316">
        <w:rPr>
          <w:bCs/>
          <w:szCs w:val="28"/>
        </w:rPr>
        <w:t>202</w:t>
      </w:r>
      <w:r w:rsidR="009B3F32">
        <w:rPr>
          <w:bCs/>
          <w:szCs w:val="28"/>
        </w:rPr>
        <w:t>7</w:t>
      </w:r>
      <w:r w:rsidRPr="001E0316">
        <w:rPr>
          <w:bCs/>
          <w:szCs w:val="28"/>
        </w:rPr>
        <w:t xml:space="preserve"> и 202</w:t>
      </w:r>
      <w:r w:rsidR="009B3F32">
        <w:rPr>
          <w:bCs/>
          <w:szCs w:val="28"/>
        </w:rPr>
        <w:t>8</w:t>
      </w:r>
      <w:r w:rsidRPr="001E0316">
        <w:rPr>
          <w:bCs/>
          <w:szCs w:val="28"/>
        </w:rPr>
        <w:t xml:space="preserve"> годов</w:t>
      </w:r>
    </w:p>
    <w:p w:rsidR="008B0181" w:rsidRPr="001E0316" w:rsidRDefault="008B0181" w:rsidP="00861B29">
      <w:pPr>
        <w:pStyle w:val="a7"/>
        <w:ind w:firstLine="720"/>
        <w:jc w:val="center"/>
        <w:rPr>
          <w:bCs/>
          <w:szCs w:val="28"/>
        </w:rPr>
      </w:pPr>
    </w:p>
    <w:p w:rsidR="00861B29" w:rsidRDefault="00C70283" w:rsidP="00861B29">
      <w:pPr>
        <w:pStyle w:val="a7"/>
        <w:ind w:firstLine="720"/>
        <w:jc w:val="both"/>
      </w:pPr>
      <w:r>
        <w:t>27</w:t>
      </w:r>
      <w:r w:rsidR="00861B29" w:rsidRPr="001E0316">
        <w:t>. Пояснительная записка к проекту бюджета</w:t>
      </w:r>
      <w:r w:rsidR="009B3F32">
        <w:t xml:space="preserve"> округа</w:t>
      </w:r>
      <w:r w:rsidR="00861B29" w:rsidRPr="001E0316">
        <w:t xml:space="preserve"> составляется главными распорядителями с разграничением расходов на реализацию </w:t>
      </w:r>
      <w:r>
        <w:t xml:space="preserve">муниципальных программ </w:t>
      </w:r>
      <w:proofErr w:type="spellStart"/>
      <w:r>
        <w:t>Аргаяшского</w:t>
      </w:r>
      <w:proofErr w:type="spellEnd"/>
      <w:r>
        <w:t xml:space="preserve"> </w:t>
      </w:r>
      <w:r w:rsidRPr="00C35AC3">
        <w:rPr>
          <w:szCs w:val="28"/>
          <w:lang w:eastAsia="ru-RU"/>
        </w:rPr>
        <w:t>муниципального</w:t>
      </w:r>
      <w:r>
        <w:t xml:space="preserve"> </w:t>
      </w:r>
      <w:r w:rsidR="009B3F32">
        <w:rPr>
          <w:szCs w:val="28"/>
        </w:rPr>
        <w:t>округа</w:t>
      </w:r>
      <w:r w:rsidR="00861B29" w:rsidRPr="001E0316">
        <w:t xml:space="preserve"> и </w:t>
      </w:r>
      <w:proofErr w:type="spellStart"/>
      <w:r w:rsidR="00861B29" w:rsidRPr="001E0316">
        <w:t>непрограммных</w:t>
      </w:r>
      <w:proofErr w:type="spellEnd"/>
      <w:r w:rsidR="00861B29" w:rsidRPr="001E0316">
        <w:t xml:space="preserve"> направлений деятельности.</w:t>
      </w:r>
    </w:p>
    <w:p w:rsidR="00861B29" w:rsidRPr="001E0316" w:rsidRDefault="00861B29" w:rsidP="00861B29">
      <w:pPr>
        <w:pStyle w:val="a7"/>
        <w:ind w:firstLine="720"/>
        <w:jc w:val="both"/>
      </w:pPr>
      <w:r w:rsidRPr="003C49EF">
        <w:t>Сопоставление проекта бюджетных ассигнований 202</w:t>
      </w:r>
      <w:r w:rsidR="009B3F32">
        <w:t>6</w:t>
      </w:r>
      <w:r w:rsidRPr="003C49EF">
        <w:t xml:space="preserve"> года осуществляется с первоначально утвержденной редакцией 202</w:t>
      </w:r>
      <w:r w:rsidR="009B3F32">
        <w:t>5</w:t>
      </w:r>
      <w:r w:rsidRPr="003C49EF">
        <w:t xml:space="preserve"> года, проекта 202</w:t>
      </w:r>
      <w:r w:rsidR="009B3F32">
        <w:t>7</w:t>
      </w:r>
      <w:r w:rsidRPr="003C49EF">
        <w:t xml:space="preserve"> года – с проектом 202</w:t>
      </w:r>
      <w:r w:rsidR="009B3F32">
        <w:t>6</w:t>
      </w:r>
      <w:r w:rsidRPr="003C49EF">
        <w:t xml:space="preserve"> года, проекта 202</w:t>
      </w:r>
      <w:r w:rsidR="009B3F32">
        <w:t>8</w:t>
      </w:r>
      <w:r w:rsidRPr="003C49EF">
        <w:t xml:space="preserve"> года – с проектом 202</w:t>
      </w:r>
      <w:r w:rsidR="009B3F32">
        <w:t>7</w:t>
      </w:r>
      <w:r w:rsidRPr="003C49EF">
        <w:t xml:space="preserve"> года.</w:t>
      </w:r>
    </w:p>
    <w:p w:rsidR="00861B29" w:rsidRPr="001E0316" w:rsidRDefault="00861B29" w:rsidP="00861B29">
      <w:pPr>
        <w:pStyle w:val="a7"/>
        <w:ind w:firstLine="720"/>
        <w:jc w:val="both"/>
      </w:pPr>
      <w:r w:rsidRPr="001E0316">
        <w:t xml:space="preserve">По расходам на реализацию </w:t>
      </w:r>
      <w:r w:rsidR="001F53B9">
        <w:t xml:space="preserve">муниципальных программ </w:t>
      </w:r>
      <w:proofErr w:type="spellStart"/>
      <w:r w:rsidR="001F53B9">
        <w:t>Аргаяшского</w:t>
      </w:r>
      <w:proofErr w:type="spellEnd"/>
      <w:r w:rsidR="001F53B9">
        <w:t xml:space="preserve"> </w:t>
      </w:r>
      <w:r w:rsidR="001F53B9" w:rsidRPr="00C35AC3">
        <w:rPr>
          <w:szCs w:val="28"/>
          <w:lang w:eastAsia="ru-RU"/>
        </w:rPr>
        <w:t>муниципального</w:t>
      </w:r>
      <w:r w:rsidR="001F53B9">
        <w:t xml:space="preserve"> </w:t>
      </w:r>
      <w:r w:rsidR="009B3F32">
        <w:rPr>
          <w:szCs w:val="28"/>
        </w:rPr>
        <w:t>округа</w:t>
      </w:r>
      <w:r w:rsidRPr="001E0316">
        <w:t xml:space="preserve"> пояснительную записку готовят ответственные исполнители соответствующих </w:t>
      </w:r>
      <w:r w:rsidR="001F53B9">
        <w:t xml:space="preserve">муниципальных программ </w:t>
      </w:r>
      <w:proofErr w:type="spellStart"/>
      <w:r w:rsidR="001F53B9">
        <w:t>Аргаяшского</w:t>
      </w:r>
      <w:proofErr w:type="spellEnd"/>
      <w:r w:rsidR="001F53B9">
        <w:t xml:space="preserve"> </w:t>
      </w:r>
      <w:r w:rsidR="001F53B9" w:rsidRPr="00C35AC3">
        <w:rPr>
          <w:szCs w:val="28"/>
          <w:lang w:eastAsia="ru-RU"/>
        </w:rPr>
        <w:t>муниципального</w:t>
      </w:r>
      <w:r w:rsidR="001F53B9">
        <w:t xml:space="preserve"> </w:t>
      </w:r>
      <w:r w:rsidR="009B3F32">
        <w:rPr>
          <w:szCs w:val="28"/>
        </w:rPr>
        <w:t>округа</w:t>
      </w:r>
      <w:r w:rsidRPr="001E0316">
        <w:t xml:space="preserve">, с указанием соисполнителей </w:t>
      </w:r>
      <w:r w:rsidR="001F53B9">
        <w:t xml:space="preserve">муниципальных программ </w:t>
      </w:r>
      <w:proofErr w:type="spellStart"/>
      <w:r w:rsidR="001F53B9">
        <w:t>Аргаяшского</w:t>
      </w:r>
      <w:proofErr w:type="spellEnd"/>
      <w:r w:rsidR="001F53B9">
        <w:t xml:space="preserve"> </w:t>
      </w:r>
      <w:r w:rsidR="001F53B9" w:rsidRPr="00C35AC3">
        <w:rPr>
          <w:szCs w:val="28"/>
          <w:lang w:eastAsia="ru-RU"/>
        </w:rPr>
        <w:t>муниципального</w:t>
      </w:r>
      <w:r w:rsidR="001F53B9">
        <w:t xml:space="preserve"> </w:t>
      </w:r>
      <w:r w:rsidR="009B3F32">
        <w:rPr>
          <w:szCs w:val="28"/>
        </w:rPr>
        <w:t>округа</w:t>
      </w:r>
      <w:r w:rsidRPr="001E0316">
        <w:t>.</w:t>
      </w:r>
    </w:p>
    <w:p w:rsidR="00861B29" w:rsidRDefault="0053567A" w:rsidP="00861B29">
      <w:pPr>
        <w:pStyle w:val="a7"/>
        <w:ind w:firstLine="720"/>
        <w:jc w:val="both"/>
      </w:pPr>
      <w:r>
        <w:t>28</w:t>
      </w:r>
      <w:r w:rsidR="00861B29" w:rsidRPr="001E0316">
        <w:t xml:space="preserve">. В составе пояснительной записки необходимо отразить по каждой </w:t>
      </w:r>
      <w:r w:rsidR="001F53B9">
        <w:t xml:space="preserve">муниципальной программе </w:t>
      </w:r>
      <w:proofErr w:type="spellStart"/>
      <w:r w:rsidR="001F53B9">
        <w:t>Аргаяшского</w:t>
      </w:r>
      <w:proofErr w:type="spellEnd"/>
      <w:r w:rsidR="001F53B9">
        <w:t xml:space="preserve"> </w:t>
      </w:r>
      <w:r w:rsidR="001F53B9" w:rsidRPr="00C35AC3">
        <w:rPr>
          <w:szCs w:val="28"/>
          <w:lang w:eastAsia="ru-RU"/>
        </w:rPr>
        <w:t>муниципального</w:t>
      </w:r>
      <w:r w:rsidR="001F53B9">
        <w:t xml:space="preserve"> </w:t>
      </w:r>
      <w:r w:rsidR="009B3F32">
        <w:rPr>
          <w:szCs w:val="28"/>
        </w:rPr>
        <w:t>округа</w:t>
      </w:r>
      <w:r w:rsidR="001F53B9" w:rsidRPr="001E0316">
        <w:t xml:space="preserve"> </w:t>
      </w:r>
      <w:r w:rsidR="00861B29" w:rsidRPr="001E0316">
        <w:t xml:space="preserve">и (или) </w:t>
      </w:r>
      <w:proofErr w:type="spellStart"/>
      <w:r w:rsidR="00861B29" w:rsidRPr="001E0316">
        <w:t>непрограммному</w:t>
      </w:r>
      <w:proofErr w:type="spellEnd"/>
      <w:r w:rsidR="00861B29" w:rsidRPr="001E0316">
        <w:t xml:space="preserve"> направлению деятельности:</w:t>
      </w:r>
    </w:p>
    <w:p w:rsidR="00861B29" w:rsidRPr="001E0316" w:rsidRDefault="00861B29" w:rsidP="00861B29">
      <w:pPr>
        <w:pStyle w:val="a7"/>
        <w:ind w:firstLine="720"/>
        <w:jc w:val="both"/>
      </w:pPr>
      <w:r w:rsidRPr="001E0316">
        <w:t xml:space="preserve">цели и задачи, которые предусматривается выполнить в рамках исполнения бюджетных ассигнований, предусмотренных </w:t>
      </w:r>
      <w:r w:rsidR="001F53B9">
        <w:t xml:space="preserve">муниципальными программами </w:t>
      </w:r>
      <w:proofErr w:type="spellStart"/>
      <w:r w:rsidR="001F53B9">
        <w:t>Аргаяшского</w:t>
      </w:r>
      <w:proofErr w:type="spellEnd"/>
      <w:r w:rsidR="001F53B9">
        <w:t xml:space="preserve"> </w:t>
      </w:r>
      <w:r w:rsidR="001F53B9" w:rsidRPr="00C35AC3">
        <w:rPr>
          <w:szCs w:val="28"/>
          <w:lang w:eastAsia="ru-RU"/>
        </w:rPr>
        <w:t>муниципального</w:t>
      </w:r>
      <w:r w:rsidR="001F53B9">
        <w:t xml:space="preserve"> </w:t>
      </w:r>
      <w:r w:rsidR="009B3F32">
        <w:rPr>
          <w:szCs w:val="28"/>
        </w:rPr>
        <w:t>округа</w:t>
      </w:r>
      <w:r w:rsidRPr="001E0316">
        <w:t>;</w:t>
      </w:r>
    </w:p>
    <w:p w:rsidR="003A1D5B" w:rsidRDefault="003A1D5B" w:rsidP="003A1D5B">
      <w:pPr>
        <w:pStyle w:val="a7"/>
        <w:ind w:firstLine="720"/>
        <w:jc w:val="both"/>
      </w:pPr>
      <w:r w:rsidRPr="001E0316">
        <w:t xml:space="preserve">планируемые к реализации региональные </w:t>
      </w:r>
      <w:r>
        <w:t xml:space="preserve">проекты и ведомственные </w:t>
      </w:r>
      <w:r w:rsidRPr="001E0316">
        <w:t>проекты</w:t>
      </w:r>
      <w:r>
        <w:t>, а также мероприятия (</w:t>
      </w:r>
      <w:r w:rsidRPr="001E0316">
        <w:t>результаты</w:t>
      </w:r>
      <w:r>
        <w:t>)</w:t>
      </w:r>
      <w:r w:rsidRPr="001E0316">
        <w:t>;</w:t>
      </w:r>
    </w:p>
    <w:p w:rsidR="003A1D5B" w:rsidRPr="00AA7C50" w:rsidRDefault="00861B29" w:rsidP="003A1D5B">
      <w:pPr>
        <w:pStyle w:val="a7"/>
        <w:ind w:firstLine="720"/>
        <w:jc w:val="both"/>
      </w:pPr>
      <w:r w:rsidRPr="003C49EF">
        <w:t xml:space="preserve">планируемые к реализации комплексы процессных </w:t>
      </w:r>
      <w:proofErr w:type="spellStart"/>
      <w:r w:rsidRPr="003C49EF">
        <w:t>мероприятий</w:t>
      </w:r>
      <w:proofErr w:type="gramStart"/>
      <w:r w:rsidR="003A1D5B" w:rsidRPr="00AA7C50">
        <w:t>,а</w:t>
      </w:r>
      <w:proofErr w:type="spellEnd"/>
      <w:proofErr w:type="gramEnd"/>
      <w:r w:rsidR="003A1D5B" w:rsidRPr="00AA7C50">
        <w:t xml:space="preserve"> также  мероприятия (результаты);</w:t>
      </w:r>
    </w:p>
    <w:p w:rsidR="00861B29" w:rsidRPr="001E0316" w:rsidRDefault="00861B29" w:rsidP="003A1D5B">
      <w:pPr>
        <w:pStyle w:val="a7"/>
        <w:ind w:firstLine="720"/>
        <w:jc w:val="both"/>
      </w:pPr>
      <w:r w:rsidRPr="003C49EF">
        <w:t xml:space="preserve"> </w:t>
      </w:r>
      <w:r w:rsidRPr="001E0316">
        <w:t xml:space="preserve">отраслевые особенности и факторы, оказывающие влияние на планирование бюджетных ассигнований, в том числе причины отклонений бюджетных ассигнований в каждом из периодов. </w:t>
      </w:r>
    </w:p>
    <w:p w:rsidR="00861B29" w:rsidRDefault="0053567A" w:rsidP="00861B29">
      <w:pPr>
        <w:pStyle w:val="a"/>
        <w:numPr>
          <w:ilvl w:val="0"/>
          <w:numId w:val="0"/>
        </w:numPr>
        <w:tabs>
          <w:tab w:val="clear" w:pos="1134"/>
          <w:tab w:val="left" w:pos="993"/>
        </w:tabs>
        <w:spacing w:before="0"/>
        <w:ind w:firstLine="720"/>
        <w:rPr>
          <w:noProof w:val="0"/>
        </w:rPr>
      </w:pPr>
      <w:r>
        <w:rPr>
          <w:noProof w:val="0"/>
        </w:rPr>
        <w:t>29</w:t>
      </w:r>
      <w:r w:rsidR="00861B29" w:rsidRPr="001E0316">
        <w:rPr>
          <w:noProof w:val="0"/>
        </w:rPr>
        <w:t xml:space="preserve">. Пояснительная записка представляется в </w:t>
      </w:r>
      <w:r w:rsidR="00F0283A">
        <w:rPr>
          <w:noProof w:val="0"/>
        </w:rPr>
        <w:t>Финансовое управление</w:t>
      </w:r>
      <w:r w:rsidR="00861B29" w:rsidRPr="001E0316">
        <w:rPr>
          <w:noProof w:val="0"/>
        </w:rPr>
        <w:t xml:space="preserve"> на бумажном и электронном носителях, объемные показатели приводятся в  рубл</w:t>
      </w:r>
      <w:r w:rsidR="008B7B3D">
        <w:rPr>
          <w:noProof w:val="0"/>
        </w:rPr>
        <w:t>ях</w:t>
      </w:r>
      <w:r w:rsidR="00861B29" w:rsidRPr="001E0316">
        <w:rPr>
          <w:noProof w:val="0"/>
        </w:rPr>
        <w:t xml:space="preserve"> с </w:t>
      </w:r>
      <w:r w:rsidR="008B7B3D">
        <w:rPr>
          <w:noProof w:val="0"/>
        </w:rPr>
        <w:t>двумя</w:t>
      </w:r>
      <w:r w:rsidR="00861B29" w:rsidRPr="001E0316">
        <w:rPr>
          <w:noProof w:val="0"/>
        </w:rPr>
        <w:t xml:space="preserve"> знак</w:t>
      </w:r>
      <w:r w:rsidR="008B7B3D">
        <w:rPr>
          <w:noProof w:val="0"/>
        </w:rPr>
        <w:t>ами</w:t>
      </w:r>
      <w:r w:rsidR="00861B29" w:rsidRPr="001E0316">
        <w:rPr>
          <w:noProof w:val="0"/>
        </w:rPr>
        <w:t xml:space="preserve"> после запятой.</w:t>
      </w:r>
    </w:p>
    <w:p w:rsidR="00861B29" w:rsidRDefault="00861B29" w:rsidP="00861B29">
      <w:pPr>
        <w:pStyle w:val="a"/>
        <w:numPr>
          <w:ilvl w:val="0"/>
          <w:numId w:val="0"/>
        </w:numPr>
        <w:tabs>
          <w:tab w:val="clear" w:pos="1134"/>
          <w:tab w:val="left" w:pos="993"/>
        </w:tabs>
        <w:spacing w:before="0"/>
        <w:ind w:firstLine="720"/>
        <w:rPr>
          <w:noProof w:val="0"/>
        </w:rPr>
      </w:pPr>
    </w:p>
    <w:p w:rsidR="00861B29" w:rsidRDefault="00861B29" w:rsidP="00861B29">
      <w:pPr>
        <w:pStyle w:val="23"/>
        <w:ind w:right="0" w:firstLine="0"/>
        <w:jc w:val="center"/>
        <w:outlineLvl w:val="9"/>
        <w:rPr>
          <w:snapToGrid w:val="0"/>
        </w:rPr>
      </w:pPr>
      <w:r w:rsidRPr="002163D7">
        <w:rPr>
          <w:snapToGrid w:val="0"/>
          <w:lang w:val="en-US"/>
        </w:rPr>
        <w:t>V</w:t>
      </w:r>
      <w:r w:rsidRPr="002163D7">
        <w:rPr>
          <w:snapToGrid w:val="0"/>
        </w:rPr>
        <w:t>. Особенности отражения бюджетных ассигнований по кодам бюджетной классификации</w:t>
      </w:r>
    </w:p>
    <w:p w:rsidR="00861B29" w:rsidRDefault="00861B29" w:rsidP="00861B29">
      <w:pPr>
        <w:ind w:firstLine="709"/>
        <w:jc w:val="both"/>
        <w:rPr>
          <w:snapToGrid w:val="0"/>
          <w:sz w:val="28"/>
          <w:szCs w:val="28"/>
        </w:rPr>
      </w:pPr>
    </w:p>
    <w:p w:rsidR="00861B29" w:rsidRPr="002163D7" w:rsidRDefault="00861B29" w:rsidP="00861B29">
      <w:pPr>
        <w:ind w:firstLine="709"/>
        <w:jc w:val="both"/>
        <w:rPr>
          <w:color w:val="000000"/>
          <w:sz w:val="28"/>
          <w:szCs w:val="28"/>
        </w:rPr>
      </w:pPr>
      <w:r w:rsidRPr="00A12DF8">
        <w:rPr>
          <w:snapToGrid w:val="0"/>
          <w:sz w:val="28"/>
          <w:szCs w:val="28"/>
        </w:rPr>
        <w:t>3</w:t>
      </w:r>
      <w:r w:rsidR="0053567A">
        <w:rPr>
          <w:snapToGrid w:val="0"/>
          <w:sz w:val="28"/>
          <w:szCs w:val="28"/>
        </w:rPr>
        <w:t>0</w:t>
      </w:r>
      <w:r w:rsidRPr="00A12DF8">
        <w:rPr>
          <w:snapToGrid w:val="0"/>
          <w:sz w:val="28"/>
          <w:szCs w:val="28"/>
        </w:rPr>
        <w:t>. Распределение предельных объемов бюджетных ассигнований по</w:t>
      </w:r>
      <w:r w:rsidRPr="002163D7">
        <w:rPr>
          <w:snapToGrid w:val="0"/>
          <w:sz w:val="28"/>
          <w:szCs w:val="28"/>
        </w:rPr>
        <w:t xml:space="preserve"> кодам классификации расходов бюджетов следует осуществлять</w:t>
      </w:r>
      <w:r>
        <w:rPr>
          <w:snapToGrid w:val="0"/>
          <w:sz w:val="28"/>
          <w:szCs w:val="28"/>
        </w:rPr>
        <w:t xml:space="preserve"> в соответствии</w:t>
      </w:r>
      <w:r w:rsidR="0053567A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(с учетом)</w:t>
      </w:r>
      <w:r w:rsidRPr="002163D7">
        <w:rPr>
          <w:color w:val="000000"/>
          <w:sz w:val="28"/>
          <w:szCs w:val="28"/>
        </w:rPr>
        <w:t>:</w:t>
      </w:r>
    </w:p>
    <w:p w:rsidR="00967CB7" w:rsidRPr="00967CB7" w:rsidRDefault="00967CB7" w:rsidP="00967CB7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6197B">
        <w:rPr>
          <w:sz w:val="28"/>
          <w:szCs w:val="28"/>
        </w:rPr>
        <w:t xml:space="preserve">с </w:t>
      </w:r>
      <w:r w:rsidRPr="00AE49C2">
        <w:rPr>
          <w:sz w:val="28"/>
          <w:szCs w:val="28"/>
        </w:rPr>
        <w:t>приказом Минфина России от 24 мая 2022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№ </w:t>
      </w:r>
      <w:r w:rsidRPr="00CD328E">
        <w:rPr>
          <w:sz w:val="28"/>
          <w:szCs w:val="28"/>
        </w:rPr>
        <w:t>8</w:t>
      </w:r>
      <w:r>
        <w:rPr>
          <w:sz w:val="28"/>
          <w:szCs w:val="28"/>
        </w:rPr>
        <w:t>2</w:t>
      </w:r>
      <w:r w:rsidRPr="00CD328E">
        <w:rPr>
          <w:sz w:val="28"/>
          <w:szCs w:val="28"/>
        </w:rPr>
        <w:t>н</w:t>
      </w:r>
      <w:r>
        <w:rPr>
          <w:sz w:val="28"/>
          <w:szCs w:val="28"/>
        </w:rPr>
        <w:t xml:space="preserve"> «О </w:t>
      </w:r>
      <w:r w:rsidRPr="0056197B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Pr="0056197B">
        <w:rPr>
          <w:sz w:val="28"/>
          <w:szCs w:val="28"/>
        </w:rPr>
        <w:t xml:space="preserve"> формирования и применения кодов бюджетной классификации Российской Федерации, </w:t>
      </w:r>
      <w:r>
        <w:rPr>
          <w:sz w:val="28"/>
          <w:szCs w:val="28"/>
        </w:rPr>
        <w:t xml:space="preserve">их структуре и принципах </w:t>
      </w:r>
      <w:r w:rsidRPr="00967CB7">
        <w:rPr>
          <w:sz w:val="28"/>
          <w:szCs w:val="28"/>
        </w:rPr>
        <w:t>назначения»  (далее именуется – Порядок № 82н);</w:t>
      </w:r>
    </w:p>
    <w:p w:rsidR="00967CB7" w:rsidRPr="00967CB7" w:rsidRDefault="00967CB7" w:rsidP="00967CB7">
      <w:pPr>
        <w:pStyle w:val="Style12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7CB7">
        <w:rPr>
          <w:rFonts w:ascii="Times New Roman" w:hAnsi="Times New Roman" w:cs="Times New Roman"/>
          <w:sz w:val="28"/>
          <w:szCs w:val="28"/>
        </w:rPr>
        <w:lastRenderedPageBreak/>
        <w:t>2) с приказом Минфина России от 10 июня 202</w:t>
      </w:r>
      <w:r w:rsidR="00EE51C1">
        <w:rPr>
          <w:rFonts w:ascii="Times New Roman" w:hAnsi="Times New Roman" w:cs="Times New Roman"/>
          <w:sz w:val="28"/>
          <w:szCs w:val="28"/>
        </w:rPr>
        <w:t>5</w:t>
      </w:r>
      <w:r w:rsidRPr="00967CB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EE51C1">
        <w:rPr>
          <w:rFonts w:ascii="Times New Roman" w:hAnsi="Times New Roman" w:cs="Times New Roman"/>
          <w:sz w:val="28"/>
          <w:szCs w:val="28"/>
        </w:rPr>
        <w:t>70</w:t>
      </w:r>
      <w:r w:rsidRPr="00967CB7">
        <w:rPr>
          <w:rFonts w:ascii="Times New Roman" w:hAnsi="Times New Roman" w:cs="Times New Roman"/>
          <w:sz w:val="28"/>
          <w:szCs w:val="28"/>
        </w:rPr>
        <w:t>н «Об утверждении кодов (перечней кодов) бюджетной классификации Российской Федерации на 202</w:t>
      </w:r>
      <w:r w:rsidR="00EE51C1">
        <w:rPr>
          <w:rFonts w:ascii="Times New Roman" w:hAnsi="Times New Roman" w:cs="Times New Roman"/>
          <w:sz w:val="28"/>
          <w:szCs w:val="28"/>
        </w:rPr>
        <w:t>6</w:t>
      </w:r>
      <w:r w:rsidRPr="00967CB7">
        <w:rPr>
          <w:rFonts w:ascii="Times New Roman" w:hAnsi="Times New Roman" w:cs="Times New Roman"/>
          <w:sz w:val="28"/>
          <w:szCs w:val="28"/>
        </w:rPr>
        <w:t xml:space="preserve"> год (на 202</w:t>
      </w:r>
      <w:r w:rsidR="00EE51C1">
        <w:rPr>
          <w:rFonts w:ascii="Times New Roman" w:hAnsi="Times New Roman" w:cs="Times New Roman"/>
          <w:sz w:val="28"/>
          <w:szCs w:val="28"/>
        </w:rPr>
        <w:t>6</w:t>
      </w:r>
      <w:r w:rsidRPr="00967CB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E51C1">
        <w:rPr>
          <w:rFonts w:ascii="Times New Roman" w:hAnsi="Times New Roman" w:cs="Times New Roman"/>
          <w:sz w:val="28"/>
          <w:szCs w:val="28"/>
        </w:rPr>
        <w:t>7</w:t>
      </w:r>
      <w:r w:rsidRPr="00967CB7">
        <w:rPr>
          <w:rFonts w:ascii="Times New Roman" w:hAnsi="Times New Roman" w:cs="Times New Roman"/>
          <w:sz w:val="28"/>
          <w:szCs w:val="28"/>
        </w:rPr>
        <w:t xml:space="preserve"> и 202</w:t>
      </w:r>
      <w:r w:rsidR="00EE51C1">
        <w:rPr>
          <w:rFonts w:ascii="Times New Roman" w:hAnsi="Times New Roman" w:cs="Times New Roman"/>
          <w:sz w:val="28"/>
          <w:szCs w:val="28"/>
        </w:rPr>
        <w:t>8</w:t>
      </w:r>
      <w:r w:rsidRPr="00967CB7">
        <w:rPr>
          <w:rFonts w:ascii="Times New Roman" w:hAnsi="Times New Roman" w:cs="Times New Roman"/>
          <w:sz w:val="28"/>
          <w:szCs w:val="28"/>
        </w:rPr>
        <w:t xml:space="preserve"> годов)»;</w:t>
      </w:r>
    </w:p>
    <w:p w:rsidR="00967CB7" w:rsidRPr="00967CB7" w:rsidRDefault="00967CB7" w:rsidP="00967CB7">
      <w:pPr>
        <w:pStyle w:val="Style12"/>
        <w:shd w:val="clear" w:color="auto" w:fill="auto"/>
        <w:tabs>
          <w:tab w:val="left" w:pos="0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67CB7">
        <w:rPr>
          <w:rFonts w:ascii="Times New Roman" w:hAnsi="Times New Roman" w:cs="Times New Roman"/>
          <w:sz w:val="28"/>
          <w:szCs w:val="28"/>
        </w:rPr>
        <w:t xml:space="preserve">3) подготовленной Минфином России таблицы соответствия разделов (подразделов) и видов расходов классификации расходов бюджетов, применяемых при составлении и </w:t>
      </w:r>
      <w:r w:rsidRPr="007C7DEB">
        <w:rPr>
          <w:rFonts w:ascii="Times New Roman" w:hAnsi="Times New Roman" w:cs="Times New Roman"/>
          <w:sz w:val="28"/>
          <w:szCs w:val="28"/>
        </w:rPr>
        <w:t xml:space="preserve">исполнении </w:t>
      </w:r>
      <w:r w:rsidR="007C7DEB" w:rsidRPr="007C7DEB">
        <w:rPr>
          <w:rFonts w:ascii="Times New Roman" w:hAnsi="Times New Roman" w:cs="Times New Roman"/>
          <w:sz w:val="28"/>
        </w:rPr>
        <w:t>федерального бюджета</w:t>
      </w:r>
      <w:r w:rsidRPr="00967CB7">
        <w:rPr>
          <w:rFonts w:ascii="Times New Roman" w:hAnsi="Times New Roman" w:cs="Times New Roman"/>
          <w:sz w:val="28"/>
          <w:szCs w:val="28"/>
        </w:rPr>
        <w:t xml:space="preserve"> на 202</w:t>
      </w:r>
      <w:r w:rsidR="00EE51C1">
        <w:rPr>
          <w:rFonts w:ascii="Times New Roman" w:hAnsi="Times New Roman" w:cs="Times New Roman"/>
          <w:sz w:val="28"/>
          <w:szCs w:val="28"/>
        </w:rPr>
        <w:t>6</w:t>
      </w:r>
      <w:r w:rsidRPr="00967CB7">
        <w:rPr>
          <w:rFonts w:ascii="Times New Roman" w:hAnsi="Times New Roman" w:cs="Times New Roman"/>
          <w:sz w:val="28"/>
          <w:szCs w:val="28"/>
        </w:rPr>
        <w:t> год и на плановый период 202</w:t>
      </w:r>
      <w:r w:rsidR="00EE51C1">
        <w:rPr>
          <w:rFonts w:ascii="Times New Roman" w:hAnsi="Times New Roman" w:cs="Times New Roman"/>
          <w:sz w:val="28"/>
          <w:szCs w:val="28"/>
        </w:rPr>
        <w:t>7</w:t>
      </w:r>
      <w:r w:rsidRPr="00967CB7">
        <w:rPr>
          <w:rFonts w:ascii="Times New Roman" w:hAnsi="Times New Roman" w:cs="Times New Roman"/>
          <w:sz w:val="28"/>
          <w:szCs w:val="28"/>
        </w:rPr>
        <w:t xml:space="preserve"> и 202</w:t>
      </w:r>
      <w:r w:rsidR="00EE51C1">
        <w:rPr>
          <w:rFonts w:ascii="Times New Roman" w:hAnsi="Times New Roman" w:cs="Times New Roman"/>
          <w:sz w:val="28"/>
          <w:szCs w:val="28"/>
        </w:rPr>
        <w:t>8</w:t>
      </w:r>
      <w:r w:rsidRPr="00967CB7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861B29" w:rsidRPr="00967CB7" w:rsidRDefault="00861B29" w:rsidP="00861B29">
      <w:pPr>
        <w:ind w:firstLine="709"/>
        <w:jc w:val="both"/>
        <w:rPr>
          <w:sz w:val="28"/>
          <w:szCs w:val="28"/>
        </w:rPr>
      </w:pPr>
      <w:r w:rsidRPr="00967CB7">
        <w:rPr>
          <w:sz w:val="28"/>
          <w:szCs w:val="28"/>
        </w:rPr>
        <w:t xml:space="preserve">4) перечня </w:t>
      </w:r>
      <w:r w:rsidR="001C36E6" w:rsidRPr="00967CB7">
        <w:rPr>
          <w:sz w:val="28"/>
          <w:szCs w:val="28"/>
        </w:rPr>
        <w:t xml:space="preserve">муниципальных программ </w:t>
      </w:r>
      <w:proofErr w:type="spellStart"/>
      <w:r w:rsidR="001C36E6" w:rsidRPr="00967CB7">
        <w:rPr>
          <w:sz w:val="28"/>
          <w:szCs w:val="28"/>
        </w:rPr>
        <w:t>Аргаяшского</w:t>
      </w:r>
      <w:proofErr w:type="spellEnd"/>
      <w:r w:rsidR="001C36E6" w:rsidRPr="00967CB7">
        <w:rPr>
          <w:sz w:val="28"/>
          <w:szCs w:val="28"/>
        </w:rPr>
        <w:t xml:space="preserve"> муниципального </w:t>
      </w:r>
      <w:r w:rsidR="003C2ACD">
        <w:rPr>
          <w:sz w:val="28"/>
          <w:szCs w:val="28"/>
        </w:rPr>
        <w:t>округа</w:t>
      </w:r>
      <w:r w:rsidR="001C36E6" w:rsidRPr="00967CB7">
        <w:rPr>
          <w:sz w:val="28"/>
          <w:szCs w:val="28"/>
        </w:rPr>
        <w:t xml:space="preserve"> </w:t>
      </w:r>
      <w:r w:rsidRPr="00967CB7">
        <w:rPr>
          <w:sz w:val="28"/>
          <w:szCs w:val="28"/>
        </w:rPr>
        <w:t>на 202</w:t>
      </w:r>
      <w:r w:rsidR="003C2ACD">
        <w:rPr>
          <w:sz w:val="28"/>
          <w:szCs w:val="28"/>
        </w:rPr>
        <w:t>6</w:t>
      </w:r>
      <w:r w:rsidRPr="00967CB7">
        <w:rPr>
          <w:sz w:val="28"/>
          <w:szCs w:val="28"/>
        </w:rPr>
        <w:t>-202</w:t>
      </w:r>
      <w:r w:rsidR="003C2ACD">
        <w:rPr>
          <w:sz w:val="28"/>
          <w:szCs w:val="28"/>
        </w:rPr>
        <w:t>8</w:t>
      </w:r>
      <w:r w:rsidRPr="00967CB7">
        <w:rPr>
          <w:sz w:val="28"/>
          <w:szCs w:val="28"/>
        </w:rPr>
        <w:t xml:space="preserve"> годы, сформированного </w:t>
      </w:r>
      <w:r w:rsidR="00A114B1" w:rsidRPr="00967CB7">
        <w:rPr>
          <w:sz w:val="28"/>
          <w:szCs w:val="28"/>
          <w:lang w:eastAsia="en-US"/>
        </w:rPr>
        <w:t>Управлением по экономике</w:t>
      </w:r>
      <w:r w:rsidRPr="00967CB7">
        <w:rPr>
          <w:sz w:val="28"/>
          <w:szCs w:val="28"/>
        </w:rPr>
        <w:t xml:space="preserve"> </w:t>
      </w:r>
      <w:r w:rsidR="003C49EF" w:rsidRPr="00967CB7">
        <w:rPr>
          <w:sz w:val="28"/>
          <w:szCs w:val="28"/>
        </w:rPr>
        <w:t>администрации</w:t>
      </w:r>
      <w:r w:rsidR="001C36E6" w:rsidRPr="00967CB7">
        <w:rPr>
          <w:sz w:val="28"/>
          <w:szCs w:val="28"/>
        </w:rPr>
        <w:t xml:space="preserve"> </w:t>
      </w:r>
      <w:proofErr w:type="spellStart"/>
      <w:r w:rsidR="001C36E6" w:rsidRPr="00967CB7">
        <w:rPr>
          <w:sz w:val="28"/>
          <w:szCs w:val="28"/>
        </w:rPr>
        <w:t>Аргаяшского</w:t>
      </w:r>
      <w:proofErr w:type="spellEnd"/>
      <w:r w:rsidR="001C36E6" w:rsidRPr="00967CB7">
        <w:rPr>
          <w:sz w:val="28"/>
          <w:szCs w:val="28"/>
        </w:rPr>
        <w:t xml:space="preserve"> муниципального </w:t>
      </w:r>
      <w:r w:rsidR="003C2ACD">
        <w:rPr>
          <w:sz w:val="28"/>
          <w:szCs w:val="28"/>
        </w:rPr>
        <w:t>округа</w:t>
      </w:r>
      <w:r w:rsidRPr="00967CB7">
        <w:rPr>
          <w:sz w:val="28"/>
          <w:szCs w:val="28"/>
        </w:rPr>
        <w:t>.</w:t>
      </w:r>
    </w:p>
    <w:p w:rsidR="00861B29" w:rsidRPr="002E2AA0" w:rsidRDefault="00861B29" w:rsidP="00861B29">
      <w:pPr>
        <w:ind w:firstLine="709"/>
        <w:jc w:val="both"/>
        <w:rPr>
          <w:i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</w:t>
      </w:r>
      <w:r w:rsidR="0089480B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</w:t>
      </w:r>
      <w:r w:rsidR="0089480B">
        <w:rPr>
          <w:snapToGrid w:val="0"/>
          <w:sz w:val="28"/>
          <w:szCs w:val="28"/>
        </w:rPr>
        <w:t>У</w:t>
      </w:r>
      <w:r w:rsidR="0089480B" w:rsidRPr="00CD328E">
        <w:rPr>
          <w:snapToGrid w:val="0"/>
          <w:sz w:val="28"/>
          <w:szCs w:val="28"/>
        </w:rPr>
        <w:t>точне</w:t>
      </w:r>
      <w:r w:rsidR="0089480B">
        <w:rPr>
          <w:snapToGrid w:val="0"/>
          <w:sz w:val="28"/>
          <w:szCs w:val="28"/>
        </w:rPr>
        <w:t xml:space="preserve">ние </w:t>
      </w:r>
      <w:r w:rsidR="0089480B" w:rsidRPr="00CD328E">
        <w:rPr>
          <w:snapToGrid w:val="0"/>
          <w:sz w:val="28"/>
          <w:szCs w:val="28"/>
        </w:rPr>
        <w:t xml:space="preserve">структуры и </w:t>
      </w:r>
      <w:r w:rsidR="0089480B">
        <w:rPr>
          <w:snapToGrid w:val="0"/>
          <w:sz w:val="28"/>
          <w:szCs w:val="28"/>
        </w:rPr>
        <w:t xml:space="preserve">объема расходов проекта </w:t>
      </w:r>
      <w:r w:rsidR="0089480B" w:rsidRPr="00B51B3F">
        <w:rPr>
          <w:snapToGrid w:val="0"/>
          <w:sz w:val="28"/>
          <w:szCs w:val="28"/>
        </w:rPr>
        <w:t>бюджета</w:t>
      </w:r>
      <w:r w:rsidR="003C2ACD" w:rsidRPr="003C2ACD">
        <w:rPr>
          <w:sz w:val="28"/>
          <w:szCs w:val="28"/>
        </w:rPr>
        <w:t xml:space="preserve"> </w:t>
      </w:r>
      <w:r w:rsidR="003C2ACD">
        <w:rPr>
          <w:sz w:val="28"/>
          <w:szCs w:val="28"/>
        </w:rPr>
        <w:t>округа</w:t>
      </w:r>
      <w:r w:rsidR="0089480B" w:rsidRPr="00B51B3F">
        <w:rPr>
          <w:snapToGrid w:val="0"/>
          <w:sz w:val="28"/>
          <w:szCs w:val="28"/>
        </w:rPr>
        <w:t xml:space="preserve">, включаемых в муниципальные программы </w:t>
      </w:r>
      <w:proofErr w:type="spellStart"/>
      <w:r w:rsidR="0089480B" w:rsidRPr="00B51B3F">
        <w:rPr>
          <w:sz w:val="28"/>
          <w:szCs w:val="28"/>
        </w:rPr>
        <w:t>Аргаяшского</w:t>
      </w:r>
      <w:proofErr w:type="spellEnd"/>
      <w:r w:rsidR="0089480B" w:rsidRPr="00B51B3F">
        <w:rPr>
          <w:sz w:val="28"/>
          <w:szCs w:val="28"/>
        </w:rPr>
        <w:t xml:space="preserve"> муниципального </w:t>
      </w:r>
      <w:r w:rsidR="003C2ACD">
        <w:rPr>
          <w:sz w:val="28"/>
          <w:szCs w:val="28"/>
        </w:rPr>
        <w:t>округа</w:t>
      </w:r>
      <w:r w:rsidR="0089480B" w:rsidRPr="00B51B3F">
        <w:rPr>
          <w:snapToGrid w:val="0"/>
          <w:sz w:val="28"/>
          <w:szCs w:val="28"/>
        </w:rPr>
        <w:t>, осуществляется на этапе возвратного распределения предельных объемов бюджетных</w:t>
      </w:r>
      <w:r w:rsidR="0089480B">
        <w:rPr>
          <w:snapToGrid w:val="0"/>
          <w:sz w:val="28"/>
          <w:szCs w:val="28"/>
        </w:rPr>
        <w:t xml:space="preserve"> ассигнований.</w:t>
      </w:r>
    </w:p>
    <w:p w:rsidR="00861B29" w:rsidRPr="001851E3" w:rsidRDefault="00861B29" w:rsidP="00861B29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срок не позднее </w:t>
      </w:r>
      <w:r w:rsidR="0089480B">
        <w:rPr>
          <w:snapToGrid w:val="0"/>
          <w:sz w:val="28"/>
          <w:szCs w:val="28"/>
        </w:rPr>
        <w:t>01 ноября</w:t>
      </w:r>
      <w:r>
        <w:rPr>
          <w:snapToGrid w:val="0"/>
          <w:sz w:val="28"/>
          <w:szCs w:val="28"/>
        </w:rPr>
        <w:t xml:space="preserve"> 202</w:t>
      </w:r>
      <w:r w:rsidR="003C2ACD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 года (пункт </w:t>
      </w:r>
      <w:r w:rsidR="003C2ACD">
        <w:rPr>
          <w:snapToGrid w:val="0"/>
          <w:sz w:val="28"/>
          <w:szCs w:val="28"/>
        </w:rPr>
        <w:t>29</w:t>
      </w:r>
      <w:r>
        <w:rPr>
          <w:snapToGrid w:val="0"/>
          <w:sz w:val="28"/>
          <w:szCs w:val="28"/>
        </w:rPr>
        <w:t xml:space="preserve"> Графика составления бюджета) главные распорядители представляют в </w:t>
      </w:r>
      <w:r w:rsidR="0089480B">
        <w:rPr>
          <w:snapToGrid w:val="0"/>
          <w:sz w:val="28"/>
          <w:szCs w:val="28"/>
        </w:rPr>
        <w:t>Финансовое управление</w:t>
      </w:r>
      <w:r>
        <w:rPr>
          <w:snapToGrid w:val="0"/>
          <w:sz w:val="28"/>
          <w:szCs w:val="28"/>
        </w:rPr>
        <w:t xml:space="preserve"> следующие документы:</w:t>
      </w:r>
    </w:p>
    <w:p w:rsidR="00861B29" w:rsidRPr="001851E3" w:rsidRDefault="00861B29" w:rsidP="00861B29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распределение (перераспределение) доведенных </w:t>
      </w:r>
      <w:r w:rsidR="0089480B">
        <w:rPr>
          <w:snapToGrid w:val="0"/>
          <w:sz w:val="28"/>
          <w:szCs w:val="28"/>
        </w:rPr>
        <w:t>Финансовым управлением</w:t>
      </w:r>
      <w:r>
        <w:rPr>
          <w:snapToGrid w:val="0"/>
          <w:sz w:val="28"/>
          <w:szCs w:val="28"/>
        </w:rPr>
        <w:t xml:space="preserve"> </w:t>
      </w:r>
      <w:proofErr w:type="gramStart"/>
      <w:r>
        <w:rPr>
          <w:snapToGrid w:val="0"/>
          <w:sz w:val="28"/>
          <w:szCs w:val="28"/>
        </w:rPr>
        <w:t xml:space="preserve">проектировок предельных объемов бюджетных ассигнований  бюджета </w:t>
      </w:r>
      <w:r w:rsidR="003C2ACD">
        <w:rPr>
          <w:sz w:val="28"/>
          <w:szCs w:val="28"/>
        </w:rPr>
        <w:t>округа</w:t>
      </w:r>
      <w:proofErr w:type="gramEnd"/>
      <w:r w:rsidR="003C2A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кодам классификации расходов бюджетов, </w:t>
      </w:r>
      <w:r w:rsidRPr="003A6E7D">
        <w:rPr>
          <w:snapToGrid w:val="0"/>
          <w:sz w:val="28"/>
          <w:szCs w:val="28"/>
        </w:rPr>
        <w:t xml:space="preserve">с учетом </w:t>
      </w:r>
      <w:r w:rsidRPr="003A6E7D">
        <w:rPr>
          <w:sz w:val="28"/>
          <w:lang w:eastAsia="en-US"/>
        </w:rPr>
        <w:t xml:space="preserve">согласованных </w:t>
      </w:r>
      <w:r w:rsidR="00D452C5">
        <w:rPr>
          <w:sz w:val="28"/>
          <w:lang w:eastAsia="en-US"/>
        </w:rPr>
        <w:t>Управлением по экономике</w:t>
      </w:r>
      <w:r>
        <w:rPr>
          <w:sz w:val="28"/>
          <w:lang w:eastAsia="en-US"/>
        </w:rPr>
        <w:t xml:space="preserve"> </w:t>
      </w:r>
      <w:r w:rsidRPr="00CD328E">
        <w:rPr>
          <w:sz w:val="28"/>
          <w:lang w:eastAsia="en-US"/>
        </w:rPr>
        <w:t xml:space="preserve">предложений по </w:t>
      </w:r>
      <w:r w:rsidRPr="00CD328E">
        <w:rPr>
          <w:sz w:val="28"/>
          <w:szCs w:val="28"/>
        </w:rPr>
        <w:t xml:space="preserve">перечню </w:t>
      </w:r>
      <w:r w:rsidR="00D452C5" w:rsidRPr="003C2ACD">
        <w:rPr>
          <w:sz w:val="28"/>
          <w:szCs w:val="28"/>
        </w:rPr>
        <w:t xml:space="preserve">муниципальных программ </w:t>
      </w:r>
      <w:proofErr w:type="spellStart"/>
      <w:r w:rsidR="00D452C5" w:rsidRPr="003C2ACD">
        <w:rPr>
          <w:sz w:val="28"/>
          <w:szCs w:val="28"/>
        </w:rPr>
        <w:t>Аргаяшского</w:t>
      </w:r>
      <w:proofErr w:type="spellEnd"/>
      <w:r w:rsidR="00D452C5" w:rsidRPr="003C2ACD">
        <w:rPr>
          <w:sz w:val="28"/>
          <w:szCs w:val="28"/>
        </w:rPr>
        <w:t xml:space="preserve"> муниципального </w:t>
      </w:r>
      <w:r w:rsidR="003C2ACD">
        <w:rPr>
          <w:sz w:val="28"/>
          <w:szCs w:val="28"/>
        </w:rPr>
        <w:t>округа</w:t>
      </w:r>
      <w:r w:rsidR="00D452C5">
        <w:t xml:space="preserve"> </w:t>
      </w:r>
      <w:r w:rsidRPr="00CD328E">
        <w:rPr>
          <w:sz w:val="28"/>
          <w:szCs w:val="28"/>
        </w:rPr>
        <w:t>и их структуре</w:t>
      </w:r>
      <w:r w:rsidR="00324698">
        <w:rPr>
          <w:sz w:val="28"/>
          <w:szCs w:val="28"/>
        </w:rPr>
        <w:t xml:space="preserve">, </w:t>
      </w:r>
      <w:r w:rsidR="00324698" w:rsidRPr="00324698">
        <w:rPr>
          <w:sz w:val="28"/>
          <w:szCs w:val="28"/>
        </w:rPr>
        <w:t xml:space="preserve"> </w:t>
      </w:r>
      <w:r w:rsidR="00324698">
        <w:rPr>
          <w:sz w:val="28"/>
          <w:szCs w:val="28"/>
        </w:rPr>
        <w:t>с детализацией в обязательном порядке расходов на реализацию региональных проектов</w:t>
      </w:r>
      <w:r>
        <w:rPr>
          <w:sz w:val="28"/>
          <w:szCs w:val="28"/>
        </w:rPr>
        <w:t>;</w:t>
      </w:r>
    </w:p>
    <w:p w:rsidR="00861B29" w:rsidRPr="00B143CE" w:rsidRDefault="00861B29" w:rsidP="00861B29">
      <w:pPr>
        <w:ind w:firstLine="709"/>
        <w:jc w:val="both"/>
        <w:rPr>
          <w:snapToGrid w:val="0"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сопоставительные таблицы целевых статей расходов, применяемых при исполнении </w:t>
      </w:r>
      <w:r w:rsidR="008404A1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бюджета в 202</w:t>
      </w:r>
      <w:r w:rsidR="003C2ACD">
        <w:rPr>
          <w:sz w:val="28"/>
          <w:szCs w:val="28"/>
        </w:rPr>
        <w:t>5</w:t>
      </w:r>
      <w:r>
        <w:rPr>
          <w:sz w:val="28"/>
          <w:szCs w:val="28"/>
        </w:rPr>
        <w:t xml:space="preserve"> году, к применяемым в 202</w:t>
      </w:r>
      <w:r w:rsidR="003C2AC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E144FD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E144FD">
        <w:rPr>
          <w:sz w:val="28"/>
          <w:szCs w:val="28"/>
        </w:rPr>
        <w:t xml:space="preserve"> и  планов</w:t>
      </w:r>
      <w:r>
        <w:rPr>
          <w:sz w:val="28"/>
          <w:szCs w:val="28"/>
        </w:rPr>
        <w:t>ом</w:t>
      </w:r>
      <w:r w:rsidRPr="00E144FD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е</w:t>
      </w:r>
      <w:r w:rsidRPr="00E144FD">
        <w:rPr>
          <w:sz w:val="28"/>
          <w:szCs w:val="28"/>
        </w:rPr>
        <w:t xml:space="preserve"> 202</w:t>
      </w:r>
      <w:r w:rsidR="003C2ACD">
        <w:rPr>
          <w:sz w:val="28"/>
          <w:szCs w:val="28"/>
        </w:rPr>
        <w:t>7</w:t>
      </w:r>
      <w:r w:rsidRPr="00E144FD">
        <w:rPr>
          <w:sz w:val="28"/>
          <w:szCs w:val="28"/>
        </w:rPr>
        <w:t xml:space="preserve"> и 202</w:t>
      </w:r>
      <w:r w:rsidR="003C2ACD">
        <w:rPr>
          <w:sz w:val="28"/>
          <w:szCs w:val="28"/>
        </w:rPr>
        <w:t>8</w:t>
      </w:r>
      <w:r w:rsidRPr="00E144F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</w:t>
      </w:r>
      <w:r w:rsidRPr="00E144FD">
        <w:rPr>
          <w:sz w:val="28"/>
          <w:szCs w:val="28"/>
        </w:rPr>
        <w:t xml:space="preserve"> </w:t>
      </w:r>
      <w:r w:rsidRPr="00E144FD">
        <w:rPr>
          <w:snapToGrid w:val="0"/>
          <w:sz w:val="28"/>
          <w:szCs w:val="28"/>
        </w:rPr>
        <w:t xml:space="preserve">по форме согласно приложению </w:t>
      </w:r>
      <w:r w:rsidR="008404A1">
        <w:rPr>
          <w:snapToGrid w:val="0"/>
          <w:sz w:val="28"/>
          <w:szCs w:val="28"/>
        </w:rPr>
        <w:t>3</w:t>
      </w:r>
      <w:r w:rsidRPr="00E144FD">
        <w:rPr>
          <w:snapToGrid w:val="0"/>
          <w:sz w:val="28"/>
          <w:szCs w:val="28"/>
        </w:rPr>
        <w:t xml:space="preserve"> к настоящей Методике </w:t>
      </w:r>
      <w:r w:rsidRPr="00E144FD">
        <w:rPr>
          <w:sz w:val="28"/>
          <w:szCs w:val="28"/>
        </w:rPr>
        <w:t xml:space="preserve">(далее именуются – сопоставительные </w:t>
      </w:r>
      <w:r w:rsidRPr="00E144FD">
        <w:rPr>
          <w:snapToGrid w:val="0"/>
          <w:sz w:val="28"/>
          <w:szCs w:val="28"/>
        </w:rPr>
        <w:t>таблицы ЦСР)</w:t>
      </w:r>
      <w:r>
        <w:rPr>
          <w:snapToGrid w:val="0"/>
          <w:sz w:val="28"/>
          <w:szCs w:val="28"/>
        </w:rPr>
        <w:t xml:space="preserve">, подготовленные </w:t>
      </w:r>
      <w:r>
        <w:rPr>
          <w:sz w:val="28"/>
          <w:szCs w:val="28"/>
        </w:rPr>
        <w:t>с учетом согласованн</w:t>
      </w:r>
      <w:r w:rsidRPr="00CD328E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8404A1">
        <w:rPr>
          <w:sz w:val="28"/>
          <w:lang w:eastAsia="en-US"/>
        </w:rPr>
        <w:t xml:space="preserve">Управлением по экономике </w:t>
      </w:r>
      <w:r>
        <w:rPr>
          <w:sz w:val="28"/>
          <w:lang w:eastAsia="en-US"/>
        </w:rPr>
        <w:t xml:space="preserve">предложений по </w:t>
      </w:r>
      <w:r>
        <w:rPr>
          <w:sz w:val="28"/>
          <w:szCs w:val="28"/>
        </w:rPr>
        <w:t xml:space="preserve">перечню </w:t>
      </w:r>
      <w:r w:rsidR="008404A1" w:rsidRPr="003C2ACD">
        <w:rPr>
          <w:sz w:val="28"/>
          <w:szCs w:val="28"/>
        </w:rPr>
        <w:t xml:space="preserve">муниципальных программ </w:t>
      </w:r>
      <w:proofErr w:type="spellStart"/>
      <w:r w:rsidR="008404A1" w:rsidRPr="003C2ACD">
        <w:rPr>
          <w:sz w:val="28"/>
          <w:szCs w:val="28"/>
        </w:rPr>
        <w:t>Аргаяшского</w:t>
      </w:r>
      <w:proofErr w:type="spellEnd"/>
      <w:r w:rsidR="008404A1" w:rsidRPr="003C2ACD">
        <w:rPr>
          <w:sz w:val="28"/>
          <w:szCs w:val="28"/>
        </w:rPr>
        <w:t xml:space="preserve"> муниципального </w:t>
      </w:r>
      <w:r w:rsidR="003C2ACD">
        <w:rPr>
          <w:sz w:val="28"/>
          <w:szCs w:val="28"/>
        </w:rPr>
        <w:t>округа</w:t>
      </w:r>
      <w:r w:rsidR="008404A1">
        <w:t xml:space="preserve"> </w:t>
      </w:r>
      <w:r>
        <w:rPr>
          <w:sz w:val="28"/>
          <w:szCs w:val="28"/>
        </w:rPr>
        <w:t xml:space="preserve">и их структуре, </w:t>
      </w:r>
      <w:r w:rsidRPr="003C49EF">
        <w:rPr>
          <w:sz w:val="28"/>
          <w:szCs w:val="28"/>
        </w:rPr>
        <w:t xml:space="preserve">а также </w:t>
      </w:r>
      <w:r w:rsidRPr="003C49EF">
        <w:rPr>
          <w:color w:val="000000"/>
          <w:sz w:val="28"/>
          <w:szCs w:val="28"/>
        </w:rPr>
        <w:t>Примерной сопоставительной</w:t>
      </w:r>
      <w:proofErr w:type="gramEnd"/>
      <w:r w:rsidRPr="003C49EF">
        <w:rPr>
          <w:color w:val="000000"/>
          <w:sz w:val="28"/>
          <w:szCs w:val="28"/>
        </w:rPr>
        <w:t xml:space="preserve"> таблицы ЦСР.</w:t>
      </w:r>
    </w:p>
    <w:p w:rsidR="00861B29" w:rsidRDefault="00701B61" w:rsidP="00861B29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32</w:t>
      </w:r>
      <w:r w:rsidR="00861B29">
        <w:rPr>
          <w:snapToGrid w:val="0"/>
          <w:sz w:val="28"/>
          <w:szCs w:val="28"/>
        </w:rPr>
        <w:t xml:space="preserve">. </w:t>
      </w:r>
      <w:proofErr w:type="gramStart"/>
      <w:r w:rsidR="00861B29">
        <w:rPr>
          <w:color w:val="000000"/>
          <w:sz w:val="28"/>
          <w:szCs w:val="28"/>
        </w:rPr>
        <w:t>Бюджетные ассигнования подлежат распределению по</w:t>
      </w:r>
      <w:r w:rsidR="00861B29" w:rsidRPr="002163D7">
        <w:rPr>
          <w:color w:val="000000"/>
          <w:sz w:val="28"/>
          <w:szCs w:val="28"/>
        </w:rPr>
        <w:t xml:space="preserve"> соответствующим разделам (подразделам) классификации расходов бюджетов </w:t>
      </w:r>
      <w:r w:rsidR="00861B29" w:rsidRPr="000D2E0C">
        <w:rPr>
          <w:color w:val="000000"/>
          <w:sz w:val="28"/>
          <w:szCs w:val="28"/>
        </w:rPr>
        <w:t xml:space="preserve">в соответствии с требованиями пункта 18 главы </w:t>
      </w:r>
      <w:r w:rsidR="00861B29" w:rsidRPr="000D2E0C">
        <w:rPr>
          <w:color w:val="000000"/>
          <w:sz w:val="28"/>
          <w:szCs w:val="28"/>
          <w:lang w:val="en-US"/>
        </w:rPr>
        <w:t>III</w:t>
      </w:r>
      <w:r w:rsidR="00861B29" w:rsidRPr="000D2E0C">
        <w:rPr>
          <w:color w:val="000000"/>
          <w:sz w:val="28"/>
          <w:szCs w:val="28"/>
        </w:rPr>
        <w:t xml:space="preserve"> «Классификация расходов</w:t>
      </w:r>
      <w:r w:rsidR="00861B29" w:rsidRPr="002163D7">
        <w:rPr>
          <w:color w:val="000000"/>
          <w:sz w:val="28"/>
          <w:szCs w:val="28"/>
        </w:rPr>
        <w:t xml:space="preserve"> бюджетов» </w:t>
      </w:r>
      <w:r w:rsidR="00861B29">
        <w:rPr>
          <w:color w:val="000000"/>
          <w:sz w:val="28"/>
          <w:szCs w:val="28"/>
        </w:rPr>
        <w:t xml:space="preserve">Порядка № 82н, с учетом </w:t>
      </w:r>
      <w:r w:rsidR="00861B29">
        <w:rPr>
          <w:sz w:val="28"/>
          <w:szCs w:val="28"/>
        </w:rPr>
        <w:t>т</w:t>
      </w:r>
      <w:r w:rsidR="00861B29" w:rsidRPr="000D2E0C">
        <w:rPr>
          <w:sz w:val="28"/>
          <w:szCs w:val="28"/>
        </w:rPr>
        <w:t xml:space="preserve">аблицы соответствия разделов (подразделов) и видов расходов классификации расходов бюджетов, применяемых при составлении и исполнении </w:t>
      </w:r>
      <w:r w:rsidR="007C7DEB" w:rsidRPr="007C7DEB">
        <w:rPr>
          <w:sz w:val="28"/>
        </w:rPr>
        <w:t>федерального бюджета</w:t>
      </w:r>
      <w:r w:rsidR="00861B29" w:rsidRPr="000D2E0C">
        <w:rPr>
          <w:sz w:val="28"/>
          <w:szCs w:val="28"/>
        </w:rPr>
        <w:t>, начиная с бюджетов на 202</w:t>
      </w:r>
      <w:r w:rsidR="003C2ACD">
        <w:rPr>
          <w:sz w:val="28"/>
          <w:szCs w:val="28"/>
        </w:rPr>
        <w:t>6</w:t>
      </w:r>
      <w:r w:rsidR="00861B29" w:rsidRPr="000D2E0C">
        <w:rPr>
          <w:sz w:val="28"/>
          <w:szCs w:val="28"/>
        </w:rPr>
        <w:t xml:space="preserve"> год и на плановый период 202</w:t>
      </w:r>
      <w:r w:rsidR="003C2ACD">
        <w:rPr>
          <w:sz w:val="28"/>
          <w:szCs w:val="28"/>
        </w:rPr>
        <w:t>7</w:t>
      </w:r>
      <w:r w:rsidR="00861B29" w:rsidRPr="000D2E0C">
        <w:rPr>
          <w:sz w:val="28"/>
          <w:szCs w:val="28"/>
        </w:rPr>
        <w:t xml:space="preserve"> и 202</w:t>
      </w:r>
      <w:r w:rsidR="003C2ACD">
        <w:rPr>
          <w:sz w:val="28"/>
          <w:szCs w:val="28"/>
        </w:rPr>
        <w:t>8</w:t>
      </w:r>
      <w:r w:rsidR="00861B29" w:rsidRPr="000D2E0C">
        <w:rPr>
          <w:sz w:val="28"/>
          <w:szCs w:val="28"/>
        </w:rPr>
        <w:t xml:space="preserve"> годов</w:t>
      </w:r>
      <w:r w:rsidR="00861B29">
        <w:rPr>
          <w:sz w:val="28"/>
          <w:szCs w:val="28"/>
        </w:rPr>
        <w:t>.</w:t>
      </w:r>
      <w:proofErr w:type="gramEnd"/>
    </w:p>
    <w:p w:rsidR="00861B29" w:rsidRPr="003C2ACD" w:rsidRDefault="00DD235A" w:rsidP="003C2A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861B29">
        <w:rPr>
          <w:sz w:val="28"/>
          <w:szCs w:val="28"/>
        </w:rPr>
        <w:t xml:space="preserve">. </w:t>
      </w:r>
      <w:r w:rsidR="002F0538">
        <w:rPr>
          <w:color w:val="000000"/>
          <w:sz w:val="28"/>
          <w:szCs w:val="28"/>
        </w:rPr>
        <w:t>Бюджетные ассигнования подлежат распределению по</w:t>
      </w:r>
      <w:r w:rsidR="002F0538" w:rsidRPr="002163D7">
        <w:rPr>
          <w:color w:val="000000"/>
          <w:sz w:val="28"/>
          <w:szCs w:val="28"/>
        </w:rPr>
        <w:t xml:space="preserve"> соответствующим целевым статьям классификации расходов бюджетов в </w:t>
      </w:r>
      <w:r w:rsidR="002F0538" w:rsidRPr="000D2E0C">
        <w:rPr>
          <w:color w:val="000000"/>
          <w:sz w:val="28"/>
          <w:szCs w:val="28"/>
        </w:rPr>
        <w:t xml:space="preserve">соответствии с пунктами  19 – 33, 38, 43 - 45, 47 </w:t>
      </w:r>
      <w:r w:rsidR="002F0538" w:rsidRPr="000D2E0C">
        <w:rPr>
          <w:sz w:val="28"/>
          <w:szCs w:val="28"/>
        </w:rPr>
        <w:t>главы</w:t>
      </w:r>
      <w:r w:rsidR="002F0538" w:rsidRPr="000D2E0C">
        <w:rPr>
          <w:color w:val="000000"/>
          <w:sz w:val="28"/>
          <w:szCs w:val="28"/>
        </w:rPr>
        <w:t xml:space="preserve"> III «Классификация</w:t>
      </w:r>
      <w:r w:rsidR="002F0538" w:rsidRPr="00BE1811">
        <w:rPr>
          <w:color w:val="000000"/>
          <w:sz w:val="28"/>
          <w:szCs w:val="28"/>
        </w:rPr>
        <w:t xml:space="preserve"> расходов бюджетов» Порядка № 82н</w:t>
      </w:r>
      <w:r w:rsidR="00861B29" w:rsidRPr="00BE1811">
        <w:rPr>
          <w:color w:val="000000"/>
          <w:sz w:val="28"/>
          <w:szCs w:val="28"/>
        </w:rPr>
        <w:t xml:space="preserve">, с </w:t>
      </w:r>
      <w:r w:rsidR="00861B29" w:rsidRPr="003C2ACD">
        <w:rPr>
          <w:color w:val="000000"/>
          <w:sz w:val="28"/>
          <w:szCs w:val="28"/>
        </w:rPr>
        <w:t>учетом</w:t>
      </w:r>
      <w:r w:rsidR="003C2ACD" w:rsidRPr="003C2ACD">
        <w:rPr>
          <w:color w:val="000000"/>
          <w:sz w:val="28"/>
          <w:szCs w:val="28"/>
        </w:rPr>
        <w:t xml:space="preserve"> </w:t>
      </w:r>
      <w:r w:rsidR="00861B29" w:rsidRPr="003C2ACD">
        <w:rPr>
          <w:sz w:val="28"/>
          <w:szCs w:val="28"/>
        </w:rPr>
        <w:t xml:space="preserve">перечня </w:t>
      </w:r>
      <w:r w:rsidRPr="003C2ACD">
        <w:rPr>
          <w:sz w:val="28"/>
          <w:szCs w:val="28"/>
        </w:rPr>
        <w:t xml:space="preserve">муниципальных </w:t>
      </w:r>
      <w:r w:rsidRPr="003C2ACD">
        <w:rPr>
          <w:sz w:val="28"/>
          <w:szCs w:val="28"/>
        </w:rPr>
        <w:lastRenderedPageBreak/>
        <w:t xml:space="preserve">программ </w:t>
      </w:r>
      <w:proofErr w:type="spellStart"/>
      <w:r w:rsidRPr="003C2ACD">
        <w:rPr>
          <w:sz w:val="28"/>
          <w:szCs w:val="28"/>
        </w:rPr>
        <w:t>Аргаяшского</w:t>
      </w:r>
      <w:proofErr w:type="spellEnd"/>
      <w:r w:rsidRPr="003C2ACD">
        <w:rPr>
          <w:sz w:val="28"/>
          <w:szCs w:val="28"/>
        </w:rPr>
        <w:t xml:space="preserve"> муниципального </w:t>
      </w:r>
      <w:r w:rsidR="003C2ACD">
        <w:rPr>
          <w:sz w:val="28"/>
          <w:szCs w:val="28"/>
        </w:rPr>
        <w:t>округа</w:t>
      </w:r>
      <w:r w:rsidRPr="003C2ACD">
        <w:rPr>
          <w:sz w:val="28"/>
          <w:szCs w:val="28"/>
        </w:rPr>
        <w:t xml:space="preserve"> </w:t>
      </w:r>
      <w:r w:rsidR="00861B29" w:rsidRPr="003C2ACD">
        <w:rPr>
          <w:sz w:val="28"/>
          <w:szCs w:val="28"/>
        </w:rPr>
        <w:t>на 202</w:t>
      </w:r>
      <w:r w:rsidR="003C2ACD">
        <w:rPr>
          <w:sz w:val="28"/>
          <w:szCs w:val="28"/>
        </w:rPr>
        <w:t>6</w:t>
      </w:r>
      <w:r w:rsidR="00861B29" w:rsidRPr="003C2ACD">
        <w:rPr>
          <w:sz w:val="28"/>
          <w:szCs w:val="28"/>
        </w:rPr>
        <w:t>-202</w:t>
      </w:r>
      <w:r w:rsidR="003C2ACD">
        <w:rPr>
          <w:sz w:val="28"/>
          <w:szCs w:val="28"/>
        </w:rPr>
        <w:t>8</w:t>
      </w:r>
      <w:r w:rsidR="00861B29" w:rsidRPr="003C2ACD">
        <w:rPr>
          <w:sz w:val="28"/>
          <w:szCs w:val="28"/>
        </w:rPr>
        <w:t xml:space="preserve"> годы, сформированного </w:t>
      </w:r>
      <w:r w:rsidRPr="003C2ACD">
        <w:rPr>
          <w:sz w:val="28"/>
          <w:szCs w:val="28"/>
        </w:rPr>
        <w:t>Управлением по экономике</w:t>
      </w:r>
      <w:r w:rsidR="00861B29" w:rsidRPr="003C2ACD">
        <w:rPr>
          <w:sz w:val="28"/>
          <w:szCs w:val="28"/>
        </w:rPr>
        <w:t xml:space="preserve"> </w:t>
      </w:r>
      <w:r w:rsidR="003C49EF" w:rsidRPr="003C2ACD">
        <w:rPr>
          <w:sz w:val="28"/>
          <w:szCs w:val="28"/>
        </w:rPr>
        <w:t>администрации</w:t>
      </w:r>
      <w:r w:rsidRPr="003C2ACD">
        <w:rPr>
          <w:sz w:val="28"/>
          <w:szCs w:val="28"/>
        </w:rPr>
        <w:t xml:space="preserve"> </w:t>
      </w:r>
      <w:proofErr w:type="spellStart"/>
      <w:r w:rsidRPr="003C2ACD">
        <w:rPr>
          <w:sz w:val="28"/>
          <w:szCs w:val="28"/>
        </w:rPr>
        <w:t>Аргаяшского</w:t>
      </w:r>
      <w:proofErr w:type="spellEnd"/>
      <w:r w:rsidRPr="003C2ACD">
        <w:rPr>
          <w:sz w:val="28"/>
          <w:szCs w:val="28"/>
        </w:rPr>
        <w:t xml:space="preserve"> муниципального </w:t>
      </w:r>
      <w:r w:rsidR="003C2ACD">
        <w:rPr>
          <w:sz w:val="28"/>
          <w:szCs w:val="28"/>
        </w:rPr>
        <w:t>округа</w:t>
      </w:r>
      <w:r w:rsidR="002F0538" w:rsidRPr="003C2ACD">
        <w:rPr>
          <w:sz w:val="28"/>
          <w:szCs w:val="28"/>
        </w:rPr>
        <w:t>.</w:t>
      </w:r>
    </w:p>
    <w:p w:rsidR="00861B29" w:rsidRDefault="006652E8" w:rsidP="00E954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861B29" w:rsidRPr="00BE1811">
        <w:rPr>
          <w:sz w:val="28"/>
          <w:szCs w:val="28"/>
        </w:rPr>
        <w:t xml:space="preserve">. </w:t>
      </w:r>
      <w:proofErr w:type="gramStart"/>
      <w:r w:rsidR="00E95483" w:rsidRPr="00BE1811">
        <w:rPr>
          <w:sz w:val="28"/>
        </w:rPr>
        <w:t xml:space="preserve">Бюджетные ассигнования подлежат распределению по соответствующим видам расходов классификации расходов бюджетов в </w:t>
      </w:r>
      <w:r w:rsidR="00E95483" w:rsidRPr="000D2E0C">
        <w:rPr>
          <w:sz w:val="28"/>
        </w:rPr>
        <w:t>соответствии с требованиями пунктов 5</w:t>
      </w:r>
      <w:r w:rsidR="00E95483">
        <w:rPr>
          <w:sz w:val="28"/>
        </w:rPr>
        <w:t>0</w:t>
      </w:r>
      <w:r w:rsidR="00E95483" w:rsidRPr="000D2E0C">
        <w:rPr>
          <w:sz w:val="28"/>
        </w:rPr>
        <w:t>-53 главы III «Классификация</w:t>
      </w:r>
      <w:r w:rsidR="00E95483" w:rsidRPr="00177A53">
        <w:rPr>
          <w:sz w:val="28"/>
        </w:rPr>
        <w:t xml:space="preserve"> расходов бюджетов» Порядка № 82н, с учетом</w:t>
      </w:r>
      <w:r w:rsidR="00E95483">
        <w:rPr>
          <w:sz w:val="28"/>
          <w:szCs w:val="28"/>
        </w:rPr>
        <w:t xml:space="preserve"> таблицы соответствия разделов (подразделов) и видов расходов классификации расходов бюджетов, применяемых при составлении и исполнении </w:t>
      </w:r>
      <w:r w:rsidR="007C7DEB" w:rsidRPr="007C7DEB">
        <w:rPr>
          <w:sz w:val="28"/>
        </w:rPr>
        <w:t>федерального бюджета</w:t>
      </w:r>
      <w:r w:rsidR="00CF6A2B" w:rsidRPr="000D2E0C">
        <w:rPr>
          <w:sz w:val="28"/>
          <w:szCs w:val="28"/>
        </w:rPr>
        <w:t>, начиная с бюджетов на 202</w:t>
      </w:r>
      <w:r w:rsidR="00CF6A2B">
        <w:rPr>
          <w:sz w:val="28"/>
          <w:szCs w:val="28"/>
        </w:rPr>
        <w:t>6</w:t>
      </w:r>
      <w:r w:rsidR="00CF6A2B" w:rsidRPr="000D2E0C">
        <w:rPr>
          <w:sz w:val="28"/>
          <w:szCs w:val="28"/>
        </w:rPr>
        <w:t xml:space="preserve"> год и на плановый период 202</w:t>
      </w:r>
      <w:r w:rsidR="00CF6A2B">
        <w:rPr>
          <w:sz w:val="28"/>
          <w:szCs w:val="28"/>
        </w:rPr>
        <w:t>7</w:t>
      </w:r>
      <w:r w:rsidR="00CF6A2B" w:rsidRPr="000D2E0C">
        <w:rPr>
          <w:sz w:val="28"/>
          <w:szCs w:val="28"/>
        </w:rPr>
        <w:t xml:space="preserve"> и 202</w:t>
      </w:r>
      <w:r w:rsidR="00CF6A2B">
        <w:rPr>
          <w:sz w:val="28"/>
          <w:szCs w:val="28"/>
        </w:rPr>
        <w:t>8</w:t>
      </w:r>
      <w:r w:rsidR="00CF6A2B" w:rsidRPr="000D2E0C">
        <w:rPr>
          <w:sz w:val="28"/>
          <w:szCs w:val="28"/>
        </w:rPr>
        <w:t xml:space="preserve"> годов</w:t>
      </w:r>
      <w:r w:rsidR="00CF6A2B">
        <w:rPr>
          <w:sz w:val="28"/>
          <w:szCs w:val="28"/>
        </w:rPr>
        <w:t>.</w:t>
      </w:r>
      <w:proofErr w:type="gramEnd"/>
    </w:p>
    <w:p w:rsidR="00E95483" w:rsidRPr="00461866" w:rsidRDefault="00E95483" w:rsidP="00E95483">
      <w:pPr>
        <w:ind w:firstLine="709"/>
        <w:jc w:val="both"/>
        <w:rPr>
          <w:sz w:val="28"/>
          <w:szCs w:val="28"/>
        </w:rPr>
      </w:pPr>
    </w:p>
    <w:p w:rsidR="00861B29" w:rsidRPr="002163D7" w:rsidRDefault="00861B29" w:rsidP="00861B29">
      <w:pPr>
        <w:pStyle w:val="23"/>
        <w:ind w:right="0" w:firstLine="0"/>
        <w:jc w:val="center"/>
        <w:outlineLvl w:val="9"/>
      </w:pPr>
      <w:r w:rsidRPr="007C395B">
        <w:rPr>
          <w:lang w:val="en-US"/>
        </w:rPr>
        <w:t>VI</w:t>
      </w:r>
      <w:r w:rsidRPr="007C395B">
        <w:t>. Представление предложений по разработке (внесению изменений,</w:t>
      </w:r>
      <w:r w:rsidRPr="002163D7">
        <w:t xml:space="preserve"> приостановлению действия, изменению сроков вступления в силу, признанию утратившими силу) нормативных правовых актов </w:t>
      </w:r>
      <w:proofErr w:type="spellStart"/>
      <w:r w:rsidR="00A114B1">
        <w:t>Аргаяшского</w:t>
      </w:r>
      <w:proofErr w:type="spellEnd"/>
      <w:r w:rsidR="00A114B1">
        <w:t xml:space="preserve"> </w:t>
      </w:r>
      <w:r w:rsidR="00A114B1" w:rsidRPr="00C35AC3">
        <w:rPr>
          <w:szCs w:val="28"/>
        </w:rPr>
        <w:t>муниципального</w:t>
      </w:r>
      <w:r w:rsidR="00A114B1">
        <w:t xml:space="preserve"> </w:t>
      </w:r>
      <w:r w:rsidR="00CF6A2B">
        <w:rPr>
          <w:szCs w:val="28"/>
        </w:rPr>
        <w:t>округа</w:t>
      </w:r>
      <w:r w:rsidR="00A114B1" w:rsidRPr="002163D7">
        <w:t xml:space="preserve"> </w:t>
      </w:r>
      <w:r w:rsidRPr="002163D7">
        <w:t xml:space="preserve">в целях подготовки и реализации проекта </w:t>
      </w:r>
      <w:r w:rsidR="00A114B1">
        <w:t>решения</w:t>
      </w:r>
      <w:r w:rsidRPr="002163D7">
        <w:t xml:space="preserve"> «О бюджете </w:t>
      </w:r>
      <w:proofErr w:type="spellStart"/>
      <w:r w:rsidR="00A114B1">
        <w:t>Аргаяшского</w:t>
      </w:r>
      <w:proofErr w:type="spellEnd"/>
      <w:r w:rsidR="00A114B1">
        <w:t xml:space="preserve"> </w:t>
      </w:r>
      <w:r w:rsidR="00A114B1" w:rsidRPr="00C35AC3">
        <w:rPr>
          <w:szCs w:val="28"/>
        </w:rPr>
        <w:t>муниципального</w:t>
      </w:r>
      <w:r w:rsidR="00A114B1">
        <w:t xml:space="preserve"> </w:t>
      </w:r>
      <w:r w:rsidR="00CF6A2B">
        <w:rPr>
          <w:szCs w:val="28"/>
        </w:rPr>
        <w:t>округа</w:t>
      </w:r>
      <w:r w:rsidR="00A114B1" w:rsidRPr="002163D7">
        <w:t xml:space="preserve"> </w:t>
      </w:r>
      <w:r w:rsidRPr="002163D7">
        <w:t>на 20</w:t>
      </w:r>
      <w:r>
        <w:t>2</w:t>
      </w:r>
      <w:r w:rsidR="00CF6A2B">
        <w:t>6</w:t>
      </w:r>
      <w:r w:rsidRPr="002163D7">
        <w:t xml:space="preserve"> год и на плановый период 20</w:t>
      </w:r>
      <w:r>
        <w:t>2</w:t>
      </w:r>
      <w:r w:rsidR="00CF6A2B">
        <w:t>7</w:t>
      </w:r>
      <w:r w:rsidRPr="002163D7">
        <w:t xml:space="preserve"> и 202</w:t>
      </w:r>
      <w:r w:rsidR="00CF6A2B">
        <w:t>8</w:t>
      </w:r>
      <w:r w:rsidRPr="002163D7">
        <w:t xml:space="preserve"> годов»</w:t>
      </w:r>
    </w:p>
    <w:p w:rsidR="00861B29" w:rsidRPr="002163D7" w:rsidRDefault="00861B29" w:rsidP="00861B29">
      <w:pPr>
        <w:pStyle w:val="23"/>
        <w:ind w:right="0" w:firstLine="0"/>
        <w:jc w:val="center"/>
        <w:outlineLvl w:val="9"/>
      </w:pPr>
    </w:p>
    <w:p w:rsidR="00861B29" w:rsidRPr="002163D7" w:rsidRDefault="006652E8" w:rsidP="00861B29">
      <w:pPr>
        <w:pStyle w:val="23"/>
        <w:ind w:right="0"/>
        <w:outlineLvl w:val="9"/>
      </w:pPr>
      <w:r>
        <w:t>35</w:t>
      </w:r>
      <w:r w:rsidR="00861B29" w:rsidRPr="002163D7">
        <w:t>. Главные распорядители одновременно с представлением возвратного распределения бюджетных ассигнований на 20</w:t>
      </w:r>
      <w:r w:rsidR="00861B29">
        <w:t>2</w:t>
      </w:r>
      <w:r w:rsidR="00CF6A2B">
        <w:t>6</w:t>
      </w:r>
      <w:r w:rsidR="00861B29" w:rsidRPr="002163D7">
        <w:t xml:space="preserve"> год и на плановый период 20</w:t>
      </w:r>
      <w:r w:rsidR="00861B29">
        <w:t>2</w:t>
      </w:r>
      <w:r w:rsidR="00CF6A2B">
        <w:t>7</w:t>
      </w:r>
      <w:r w:rsidR="00861B29" w:rsidRPr="002163D7">
        <w:t xml:space="preserve"> и 202</w:t>
      </w:r>
      <w:r w:rsidR="00CF6A2B">
        <w:t>8</w:t>
      </w:r>
      <w:r w:rsidR="00861B29" w:rsidRPr="002163D7">
        <w:t xml:space="preserve"> годов по кодам классификации расходов бюджетов, вносят в </w:t>
      </w:r>
      <w:r w:rsidR="00A114B1">
        <w:t>Финансовое управление</w:t>
      </w:r>
      <w:r w:rsidR="00861B29" w:rsidRPr="002163D7">
        <w:t>:</w:t>
      </w:r>
    </w:p>
    <w:p w:rsidR="00861B29" w:rsidRPr="002163D7" w:rsidRDefault="00861B29" w:rsidP="00861B29">
      <w:pPr>
        <w:pStyle w:val="23"/>
        <w:numPr>
          <w:ilvl w:val="0"/>
          <w:numId w:val="4"/>
        </w:numPr>
        <w:ind w:left="0" w:right="0" w:firstLine="709"/>
        <w:outlineLvl w:val="9"/>
      </w:pPr>
      <w:r w:rsidRPr="002163D7">
        <w:t xml:space="preserve">предложения для включения в текстовые статьи проекта </w:t>
      </w:r>
      <w:r w:rsidR="00A114B1">
        <w:t>решения</w:t>
      </w:r>
      <w:r w:rsidRPr="002163D7">
        <w:t xml:space="preserve"> </w:t>
      </w:r>
      <w:r w:rsidR="00A114B1" w:rsidRPr="002163D7">
        <w:t xml:space="preserve">«О бюджете </w:t>
      </w:r>
      <w:proofErr w:type="spellStart"/>
      <w:r w:rsidR="00A114B1">
        <w:t>Аргаяшского</w:t>
      </w:r>
      <w:proofErr w:type="spellEnd"/>
      <w:r w:rsidR="00A114B1">
        <w:t xml:space="preserve"> </w:t>
      </w:r>
      <w:r w:rsidR="00A114B1" w:rsidRPr="00C35AC3">
        <w:rPr>
          <w:szCs w:val="28"/>
        </w:rPr>
        <w:t>муниципального</w:t>
      </w:r>
      <w:r w:rsidR="00A114B1">
        <w:t xml:space="preserve"> </w:t>
      </w:r>
      <w:r w:rsidR="00CF6A2B">
        <w:rPr>
          <w:szCs w:val="28"/>
        </w:rPr>
        <w:t>округа</w:t>
      </w:r>
      <w:r w:rsidR="00A114B1" w:rsidRPr="002163D7">
        <w:t xml:space="preserve"> </w:t>
      </w:r>
      <w:r w:rsidRPr="002163D7">
        <w:t>на 20</w:t>
      </w:r>
      <w:r>
        <w:t>2</w:t>
      </w:r>
      <w:r w:rsidR="00CF6A2B">
        <w:t>6</w:t>
      </w:r>
      <w:r w:rsidRPr="002163D7">
        <w:t xml:space="preserve"> год и на плановый период 20</w:t>
      </w:r>
      <w:r>
        <w:t>2</w:t>
      </w:r>
      <w:r w:rsidR="00CF6A2B">
        <w:t>7</w:t>
      </w:r>
      <w:r w:rsidRPr="002163D7">
        <w:t xml:space="preserve"> и 202</w:t>
      </w:r>
      <w:r w:rsidR="00CF6A2B">
        <w:t>8</w:t>
      </w:r>
      <w:r w:rsidRPr="002163D7">
        <w:t xml:space="preserve"> годов» с приложением пояснительной записки; </w:t>
      </w:r>
    </w:p>
    <w:p w:rsidR="00861B29" w:rsidRPr="00E144FD" w:rsidRDefault="00861B29" w:rsidP="00861B29">
      <w:pPr>
        <w:pStyle w:val="23"/>
        <w:numPr>
          <w:ilvl w:val="0"/>
          <w:numId w:val="4"/>
        </w:numPr>
        <w:ind w:left="0" w:right="0" w:firstLine="709"/>
        <w:outlineLvl w:val="9"/>
      </w:pPr>
      <w:r w:rsidRPr="002163D7">
        <w:t xml:space="preserve">перечень нормативных правовых актов </w:t>
      </w:r>
      <w:proofErr w:type="spellStart"/>
      <w:r w:rsidR="00A114B1">
        <w:t>Аргаяшского</w:t>
      </w:r>
      <w:proofErr w:type="spellEnd"/>
      <w:r w:rsidR="00A114B1">
        <w:t xml:space="preserve"> </w:t>
      </w:r>
      <w:r w:rsidR="00A114B1" w:rsidRPr="00C35AC3">
        <w:rPr>
          <w:szCs w:val="28"/>
        </w:rPr>
        <w:t>муниципального</w:t>
      </w:r>
      <w:r w:rsidR="00A114B1">
        <w:t xml:space="preserve"> </w:t>
      </w:r>
      <w:r w:rsidR="00CF6A2B">
        <w:rPr>
          <w:szCs w:val="28"/>
        </w:rPr>
        <w:t>округа</w:t>
      </w:r>
      <w:r w:rsidRPr="002163D7">
        <w:t>,</w:t>
      </w:r>
      <w:r>
        <w:t xml:space="preserve"> подлежащих принятию в связи с </w:t>
      </w:r>
      <w:r w:rsidRPr="002163D7">
        <w:t xml:space="preserve"> </w:t>
      </w:r>
      <w:r w:rsidR="0019537B">
        <w:t>решением</w:t>
      </w:r>
      <w:r w:rsidR="0019537B" w:rsidRPr="002163D7">
        <w:t xml:space="preserve"> «О бюджете </w:t>
      </w:r>
      <w:proofErr w:type="spellStart"/>
      <w:r w:rsidR="0019537B">
        <w:t>Аргаяшского</w:t>
      </w:r>
      <w:proofErr w:type="spellEnd"/>
      <w:r w:rsidR="0019537B">
        <w:t xml:space="preserve"> </w:t>
      </w:r>
      <w:r w:rsidR="0019537B" w:rsidRPr="00C35AC3">
        <w:rPr>
          <w:szCs w:val="28"/>
        </w:rPr>
        <w:t>муниципального</w:t>
      </w:r>
      <w:r w:rsidR="0019537B">
        <w:t xml:space="preserve"> </w:t>
      </w:r>
      <w:r w:rsidR="00CF6A2B">
        <w:rPr>
          <w:szCs w:val="28"/>
        </w:rPr>
        <w:t>округа</w:t>
      </w:r>
      <w:r w:rsidR="0019537B" w:rsidRPr="002163D7">
        <w:t xml:space="preserve"> на 20</w:t>
      </w:r>
      <w:r w:rsidR="0019537B">
        <w:t>2</w:t>
      </w:r>
      <w:r w:rsidR="00CF6A2B">
        <w:t>6</w:t>
      </w:r>
      <w:r w:rsidR="0019537B" w:rsidRPr="002163D7">
        <w:t xml:space="preserve"> год и на плановый период 20</w:t>
      </w:r>
      <w:r w:rsidR="0019537B">
        <w:t>2</w:t>
      </w:r>
      <w:r w:rsidR="00CF6A2B">
        <w:t>7</w:t>
      </w:r>
      <w:r w:rsidR="0019537B" w:rsidRPr="002163D7">
        <w:t xml:space="preserve"> и 202</w:t>
      </w:r>
      <w:r w:rsidR="00CF6A2B">
        <w:t>8</w:t>
      </w:r>
      <w:r w:rsidR="0019537B" w:rsidRPr="002163D7">
        <w:t xml:space="preserve"> годов»</w:t>
      </w:r>
      <w:r>
        <w:t xml:space="preserve">,  </w:t>
      </w:r>
      <w:r w:rsidRPr="00E144FD">
        <w:t xml:space="preserve">по форме согласно приложению </w:t>
      </w:r>
      <w:r w:rsidR="008B0181">
        <w:t>4</w:t>
      </w:r>
      <w:r w:rsidRPr="00E144FD">
        <w:t xml:space="preserve"> к настоящей Методике; </w:t>
      </w:r>
    </w:p>
    <w:p w:rsidR="00861B29" w:rsidRPr="002163D7" w:rsidRDefault="00861B29" w:rsidP="00861B29">
      <w:pPr>
        <w:pStyle w:val="23"/>
        <w:numPr>
          <w:ilvl w:val="0"/>
          <w:numId w:val="4"/>
        </w:numPr>
        <w:ind w:left="0" w:right="0" w:firstLine="709"/>
        <w:outlineLvl w:val="9"/>
      </w:pPr>
      <w:proofErr w:type="gramStart"/>
      <w:r w:rsidRPr="002163D7">
        <w:rPr>
          <w:szCs w:val="28"/>
        </w:rPr>
        <w:t xml:space="preserve">предложения для включения в нормативный правовой акт </w:t>
      </w:r>
      <w:r w:rsidR="0019537B">
        <w:rPr>
          <w:szCs w:val="28"/>
        </w:rPr>
        <w:t>Финансового управления</w:t>
      </w:r>
      <w:r w:rsidRPr="002163D7">
        <w:rPr>
          <w:szCs w:val="28"/>
        </w:rPr>
        <w:t xml:space="preserve">, утверждающий перечень и коды целевых статей расходов бюджета </w:t>
      </w:r>
      <w:r w:rsidR="00CF6A2B">
        <w:rPr>
          <w:szCs w:val="28"/>
        </w:rPr>
        <w:t>округа</w:t>
      </w:r>
      <w:r w:rsidR="00CF6A2B" w:rsidRPr="002163D7">
        <w:t xml:space="preserve"> </w:t>
      </w:r>
      <w:r w:rsidRPr="002163D7">
        <w:t>на 20</w:t>
      </w:r>
      <w:r>
        <w:t>2</w:t>
      </w:r>
      <w:r w:rsidR="00CF6A2B">
        <w:t>6</w:t>
      </w:r>
      <w:r w:rsidRPr="002163D7">
        <w:t xml:space="preserve"> год и на плановый период 20</w:t>
      </w:r>
      <w:r w:rsidR="00FE7A16">
        <w:t>2</w:t>
      </w:r>
      <w:r w:rsidR="00CF6A2B">
        <w:t>7</w:t>
      </w:r>
      <w:r w:rsidRPr="002163D7">
        <w:t xml:space="preserve"> и 202</w:t>
      </w:r>
      <w:r w:rsidR="00CF6A2B">
        <w:t>8</w:t>
      </w:r>
      <w:r w:rsidRPr="002163D7">
        <w:t xml:space="preserve"> годов, исходя из необходимости обеспечения включения в указанный перечень максимального количества целевых статей расходов бюджета</w:t>
      </w:r>
      <w:r w:rsidR="00CF6A2B" w:rsidRPr="00CF6A2B">
        <w:rPr>
          <w:szCs w:val="28"/>
        </w:rPr>
        <w:t xml:space="preserve"> </w:t>
      </w:r>
      <w:r w:rsidR="00CF6A2B">
        <w:rPr>
          <w:szCs w:val="28"/>
        </w:rPr>
        <w:t>округа,</w:t>
      </w:r>
      <w:r w:rsidRPr="002163D7">
        <w:t xml:space="preserve"> планируемых к использованию</w:t>
      </w:r>
      <w:r>
        <w:t xml:space="preserve"> в 202</w:t>
      </w:r>
      <w:r w:rsidR="00CF6A2B">
        <w:t>6</w:t>
      </w:r>
      <w:r>
        <w:t>-202</w:t>
      </w:r>
      <w:r w:rsidR="00CF6A2B">
        <w:t>8</w:t>
      </w:r>
      <w:r>
        <w:t xml:space="preserve"> годах</w:t>
      </w:r>
      <w:r w:rsidRPr="002163D7">
        <w:t xml:space="preserve">, в том числе на условиях </w:t>
      </w:r>
      <w:proofErr w:type="spellStart"/>
      <w:r w:rsidRPr="002163D7">
        <w:t>софинансирования</w:t>
      </w:r>
      <w:proofErr w:type="spellEnd"/>
      <w:r w:rsidRPr="002163D7">
        <w:t xml:space="preserve"> из </w:t>
      </w:r>
      <w:r w:rsidR="0019537B">
        <w:t>областного</w:t>
      </w:r>
      <w:r w:rsidRPr="002163D7">
        <w:t xml:space="preserve"> бюджета;</w:t>
      </w:r>
      <w:proofErr w:type="gramEnd"/>
    </w:p>
    <w:p w:rsidR="00861B29" w:rsidRPr="002B34EB" w:rsidRDefault="00861B29" w:rsidP="00861B29">
      <w:pPr>
        <w:pStyle w:val="a4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</w:pPr>
      <w:r w:rsidRPr="002B34EB">
        <w:t xml:space="preserve">предложения по внесению изменений, приостановлению действия, изменению сроков вступления в силу, признанию утратившими силу нормативных правовых актов </w:t>
      </w:r>
      <w:proofErr w:type="spellStart"/>
      <w:r w:rsidR="0019537B">
        <w:t>Аргаяшского</w:t>
      </w:r>
      <w:proofErr w:type="spellEnd"/>
      <w:r w:rsidR="0019537B">
        <w:t xml:space="preserve"> </w:t>
      </w:r>
      <w:r w:rsidR="0019537B" w:rsidRPr="00C35AC3">
        <w:rPr>
          <w:szCs w:val="28"/>
          <w:lang w:eastAsia="ru-RU"/>
        </w:rPr>
        <w:t>муниципального</w:t>
      </w:r>
      <w:r w:rsidR="0019537B">
        <w:t xml:space="preserve"> </w:t>
      </w:r>
      <w:r w:rsidR="00CF6A2B">
        <w:rPr>
          <w:szCs w:val="28"/>
        </w:rPr>
        <w:t>округа</w:t>
      </w:r>
      <w:r w:rsidR="0019537B" w:rsidRPr="002B34EB">
        <w:t xml:space="preserve"> </w:t>
      </w:r>
      <w:r w:rsidRPr="002B34EB">
        <w:t>и их отдельных положений, финансовое обеспечение которых в 202</w:t>
      </w:r>
      <w:r w:rsidR="00CF6A2B">
        <w:t>6</w:t>
      </w:r>
      <w:r w:rsidRPr="002B34EB">
        <w:t xml:space="preserve"> году и плановом периоде 202</w:t>
      </w:r>
      <w:r w:rsidR="00CF6A2B">
        <w:t>7</w:t>
      </w:r>
      <w:r w:rsidRPr="002B34EB">
        <w:t xml:space="preserve"> и 202</w:t>
      </w:r>
      <w:r w:rsidR="00CF6A2B">
        <w:t>8</w:t>
      </w:r>
      <w:r w:rsidRPr="002B34EB">
        <w:t xml:space="preserve"> годов не предполагается.</w:t>
      </w:r>
    </w:p>
    <w:sectPr w:rsidR="00861B29" w:rsidRPr="002B34EB" w:rsidSect="00A01263">
      <w:headerReference w:type="default" r:id="rId8"/>
      <w:pgSz w:w="11906" w:h="16838"/>
      <w:pgMar w:top="1134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CDD" w:rsidRDefault="00110CDD" w:rsidP="00123B98">
      <w:r>
        <w:separator/>
      </w:r>
    </w:p>
  </w:endnote>
  <w:endnote w:type="continuationSeparator" w:id="1">
    <w:p w:rsidR="00110CDD" w:rsidRDefault="00110CDD" w:rsidP="00123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sburgCT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CDD" w:rsidRDefault="00110CDD" w:rsidP="00123B98">
      <w:r>
        <w:separator/>
      </w:r>
    </w:p>
  </w:footnote>
  <w:footnote w:type="continuationSeparator" w:id="1">
    <w:p w:rsidR="00110CDD" w:rsidRDefault="00110CDD" w:rsidP="00123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CAF" w:rsidRPr="003A59C9" w:rsidRDefault="005B4149">
    <w:pPr>
      <w:pStyle w:val="af4"/>
      <w:jc w:val="center"/>
    </w:pPr>
    <w:fldSimple w:instr=" PAGE   \* MERGEFORMAT ">
      <w:r w:rsidR="008F5B6D">
        <w:rPr>
          <w:noProof/>
        </w:rPr>
        <w:t>8</w:t>
      </w:r>
    </w:fldSimple>
  </w:p>
  <w:p w:rsidR="00814CAF" w:rsidRDefault="00814CAF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FEF6D6F"/>
    <w:multiLevelType w:val="hybridMultilevel"/>
    <w:tmpl w:val="2E0CE178"/>
    <w:lvl w:ilvl="0" w:tplc="760881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91398C"/>
    <w:multiLevelType w:val="hybridMultilevel"/>
    <w:tmpl w:val="D3C4BF3C"/>
    <w:lvl w:ilvl="0" w:tplc="4AF4D4B6">
      <w:start w:val="2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6812E57"/>
    <w:multiLevelType w:val="hybridMultilevel"/>
    <w:tmpl w:val="458C7918"/>
    <w:lvl w:ilvl="0" w:tplc="5010DA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4C62EE"/>
    <w:multiLevelType w:val="multilevel"/>
    <w:tmpl w:val="32344D7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84"/>
        </w:tabs>
        <w:ind w:left="1484" w:hanging="22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29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4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39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50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30"/>
  <w:displayHorizontalDrawingGridEvery w:val="2"/>
  <w:characterSpacingControl w:val="doNotCompress"/>
  <w:hdrShapeDefaults>
    <o:shapedefaults v:ext="edit" spidmax="77825"/>
  </w:hdrShapeDefaults>
  <w:footnotePr>
    <w:footnote w:id="0"/>
    <w:footnote w:id="1"/>
  </w:footnotePr>
  <w:endnotePr>
    <w:endnote w:id="0"/>
    <w:endnote w:id="1"/>
  </w:endnotePr>
  <w:compat/>
  <w:rsids>
    <w:rsidRoot w:val="007856E5"/>
    <w:rsid w:val="0001446B"/>
    <w:rsid w:val="00022D4D"/>
    <w:rsid w:val="00027208"/>
    <w:rsid w:val="00053A3A"/>
    <w:rsid w:val="00060136"/>
    <w:rsid w:val="00071245"/>
    <w:rsid w:val="0007196A"/>
    <w:rsid w:val="00084083"/>
    <w:rsid w:val="00084E79"/>
    <w:rsid w:val="00097E1B"/>
    <w:rsid w:val="000B0AD8"/>
    <w:rsid w:val="000C097A"/>
    <w:rsid w:val="000C47B7"/>
    <w:rsid w:val="000F456E"/>
    <w:rsid w:val="000F55CA"/>
    <w:rsid w:val="000F5C46"/>
    <w:rsid w:val="00110CDD"/>
    <w:rsid w:val="00121264"/>
    <w:rsid w:val="00123B98"/>
    <w:rsid w:val="00123BB1"/>
    <w:rsid w:val="00131639"/>
    <w:rsid w:val="00135826"/>
    <w:rsid w:val="00141E49"/>
    <w:rsid w:val="00142CD0"/>
    <w:rsid w:val="001432A4"/>
    <w:rsid w:val="00152030"/>
    <w:rsid w:val="00161F0D"/>
    <w:rsid w:val="00174C42"/>
    <w:rsid w:val="001927B4"/>
    <w:rsid w:val="00193167"/>
    <w:rsid w:val="0019537B"/>
    <w:rsid w:val="00195F16"/>
    <w:rsid w:val="001A421D"/>
    <w:rsid w:val="001A6C41"/>
    <w:rsid w:val="001C175D"/>
    <w:rsid w:val="001C21A4"/>
    <w:rsid w:val="001C36E6"/>
    <w:rsid w:val="001E3320"/>
    <w:rsid w:val="001E5E56"/>
    <w:rsid w:val="001F0CE4"/>
    <w:rsid w:val="001F53B9"/>
    <w:rsid w:val="00221424"/>
    <w:rsid w:val="00235262"/>
    <w:rsid w:val="00244AEB"/>
    <w:rsid w:val="00247E7E"/>
    <w:rsid w:val="00253450"/>
    <w:rsid w:val="00261B83"/>
    <w:rsid w:val="00283BD8"/>
    <w:rsid w:val="00285323"/>
    <w:rsid w:val="002A2FC4"/>
    <w:rsid w:val="002D120D"/>
    <w:rsid w:val="002F0538"/>
    <w:rsid w:val="0031528B"/>
    <w:rsid w:val="003229B4"/>
    <w:rsid w:val="00324698"/>
    <w:rsid w:val="00347282"/>
    <w:rsid w:val="00356AAC"/>
    <w:rsid w:val="0036261E"/>
    <w:rsid w:val="003A1A17"/>
    <w:rsid w:val="003A1D5B"/>
    <w:rsid w:val="003C2ACD"/>
    <w:rsid w:val="003C49EF"/>
    <w:rsid w:val="00423904"/>
    <w:rsid w:val="00440696"/>
    <w:rsid w:val="00471136"/>
    <w:rsid w:val="004808E8"/>
    <w:rsid w:val="004A01E9"/>
    <w:rsid w:val="004A19FB"/>
    <w:rsid w:val="004C2D21"/>
    <w:rsid w:val="004C3CD2"/>
    <w:rsid w:val="004D3B76"/>
    <w:rsid w:val="005178AD"/>
    <w:rsid w:val="00522AF7"/>
    <w:rsid w:val="005317D7"/>
    <w:rsid w:val="0053567A"/>
    <w:rsid w:val="00545446"/>
    <w:rsid w:val="00551F48"/>
    <w:rsid w:val="0055600B"/>
    <w:rsid w:val="005671FF"/>
    <w:rsid w:val="00583291"/>
    <w:rsid w:val="0059793E"/>
    <w:rsid w:val="005A7DE3"/>
    <w:rsid w:val="005B4149"/>
    <w:rsid w:val="005B5C6F"/>
    <w:rsid w:val="005C060B"/>
    <w:rsid w:val="006067E6"/>
    <w:rsid w:val="00613B04"/>
    <w:rsid w:val="00622C19"/>
    <w:rsid w:val="00632F20"/>
    <w:rsid w:val="006456C1"/>
    <w:rsid w:val="006645FE"/>
    <w:rsid w:val="006652E8"/>
    <w:rsid w:val="006A7CBA"/>
    <w:rsid w:val="006C7E21"/>
    <w:rsid w:val="006D1329"/>
    <w:rsid w:val="006F39ED"/>
    <w:rsid w:val="00701B61"/>
    <w:rsid w:val="0071726B"/>
    <w:rsid w:val="007174F9"/>
    <w:rsid w:val="00722D70"/>
    <w:rsid w:val="007241FB"/>
    <w:rsid w:val="00726A0B"/>
    <w:rsid w:val="0073773B"/>
    <w:rsid w:val="00777517"/>
    <w:rsid w:val="007856E5"/>
    <w:rsid w:val="007A393F"/>
    <w:rsid w:val="007A45E5"/>
    <w:rsid w:val="007B0C54"/>
    <w:rsid w:val="007B6E3F"/>
    <w:rsid w:val="007B7066"/>
    <w:rsid w:val="007B7B5D"/>
    <w:rsid w:val="007C7DEB"/>
    <w:rsid w:val="007D235F"/>
    <w:rsid w:val="007D5475"/>
    <w:rsid w:val="007E21A1"/>
    <w:rsid w:val="0081284C"/>
    <w:rsid w:val="00814CAF"/>
    <w:rsid w:val="00816DC4"/>
    <w:rsid w:val="00817F04"/>
    <w:rsid w:val="00824F24"/>
    <w:rsid w:val="008369D4"/>
    <w:rsid w:val="008404A1"/>
    <w:rsid w:val="00861B29"/>
    <w:rsid w:val="00870679"/>
    <w:rsid w:val="00885A6E"/>
    <w:rsid w:val="0089480B"/>
    <w:rsid w:val="008B0181"/>
    <w:rsid w:val="008B47DA"/>
    <w:rsid w:val="008B7B3D"/>
    <w:rsid w:val="008C0205"/>
    <w:rsid w:val="008C2A2D"/>
    <w:rsid w:val="008C4BD0"/>
    <w:rsid w:val="008C7A8C"/>
    <w:rsid w:val="008D0CB3"/>
    <w:rsid w:val="008D1517"/>
    <w:rsid w:val="008F1F61"/>
    <w:rsid w:val="008F5B6D"/>
    <w:rsid w:val="009024D2"/>
    <w:rsid w:val="00903136"/>
    <w:rsid w:val="00904B1B"/>
    <w:rsid w:val="00923BC5"/>
    <w:rsid w:val="00931B7B"/>
    <w:rsid w:val="00932C62"/>
    <w:rsid w:val="009538A7"/>
    <w:rsid w:val="009614B8"/>
    <w:rsid w:val="00966C53"/>
    <w:rsid w:val="00967881"/>
    <w:rsid w:val="00967CB7"/>
    <w:rsid w:val="00970B91"/>
    <w:rsid w:val="0099104F"/>
    <w:rsid w:val="009A6B54"/>
    <w:rsid w:val="009A6C20"/>
    <w:rsid w:val="009B3F32"/>
    <w:rsid w:val="009B7806"/>
    <w:rsid w:val="009C7D29"/>
    <w:rsid w:val="009D424C"/>
    <w:rsid w:val="009D6870"/>
    <w:rsid w:val="009F2F62"/>
    <w:rsid w:val="009F5F0C"/>
    <w:rsid w:val="00A0042B"/>
    <w:rsid w:val="00A01263"/>
    <w:rsid w:val="00A114B1"/>
    <w:rsid w:val="00A262A2"/>
    <w:rsid w:val="00A4655B"/>
    <w:rsid w:val="00A538BE"/>
    <w:rsid w:val="00A72286"/>
    <w:rsid w:val="00A75C5A"/>
    <w:rsid w:val="00A91171"/>
    <w:rsid w:val="00AA62F6"/>
    <w:rsid w:val="00AF5211"/>
    <w:rsid w:val="00AF5542"/>
    <w:rsid w:val="00B23A6B"/>
    <w:rsid w:val="00B41D10"/>
    <w:rsid w:val="00B51B3F"/>
    <w:rsid w:val="00B548E3"/>
    <w:rsid w:val="00B72058"/>
    <w:rsid w:val="00B74C80"/>
    <w:rsid w:val="00B90B2D"/>
    <w:rsid w:val="00BA34A8"/>
    <w:rsid w:val="00BB2F8C"/>
    <w:rsid w:val="00BB62F7"/>
    <w:rsid w:val="00BC4455"/>
    <w:rsid w:val="00BC6AC4"/>
    <w:rsid w:val="00BD5602"/>
    <w:rsid w:val="00BD6DB3"/>
    <w:rsid w:val="00BE2A94"/>
    <w:rsid w:val="00C001CB"/>
    <w:rsid w:val="00C062AE"/>
    <w:rsid w:val="00C07F88"/>
    <w:rsid w:val="00C12C16"/>
    <w:rsid w:val="00C13F1C"/>
    <w:rsid w:val="00C302DC"/>
    <w:rsid w:val="00C43792"/>
    <w:rsid w:val="00C65354"/>
    <w:rsid w:val="00C6673B"/>
    <w:rsid w:val="00C66F7D"/>
    <w:rsid w:val="00C70283"/>
    <w:rsid w:val="00C71FC2"/>
    <w:rsid w:val="00C90E3E"/>
    <w:rsid w:val="00C95DDE"/>
    <w:rsid w:val="00C971D3"/>
    <w:rsid w:val="00CA6675"/>
    <w:rsid w:val="00CA74DE"/>
    <w:rsid w:val="00CB20C0"/>
    <w:rsid w:val="00CB7A48"/>
    <w:rsid w:val="00CD0021"/>
    <w:rsid w:val="00CF6A2B"/>
    <w:rsid w:val="00D32151"/>
    <w:rsid w:val="00D452C5"/>
    <w:rsid w:val="00D61DA1"/>
    <w:rsid w:val="00D642A9"/>
    <w:rsid w:val="00D93C5A"/>
    <w:rsid w:val="00DA5EA2"/>
    <w:rsid w:val="00DC01DA"/>
    <w:rsid w:val="00DC68EC"/>
    <w:rsid w:val="00DD235A"/>
    <w:rsid w:val="00DD4008"/>
    <w:rsid w:val="00DD6D15"/>
    <w:rsid w:val="00E24CE0"/>
    <w:rsid w:val="00E35C01"/>
    <w:rsid w:val="00E602D3"/>
    <w:rsid w:val="00E6426E"/>
    <w:rsid w:val="00E94F01"/>
    <w:rsid w:val="00E95483"/>
    <w:rsid w:val="00EA7525"/>
    <w:rsid w:val="00EB24D4"/>
    <w:rsid w:val="00EC5548"/>
    <w:rsid w:val="00EC7478"/>
    <w:rsid w:val="00ED0E1E"/>
    <w:rsid w:val="00EE51C1"/>
    <w:rsid w:val="00F0283A"/>
    <w:rsid w:val="00F02A42"/>
    <w:rsid w:val="00F05BCD"/>
    <w:rsid w:val="00F12837"/>
    <w:rsid w:val="00F14957"/>
    <w:rsid w:val="00F3598E"/>
    <w:rsid w:val="00F35FF7"/>
    <w:rsid w:val="00F5585E"/>
    <w:rsid w:val="00F61E23"/>
    <w:rsid w:val="00F63170"/>
    <w:rsid w:val="00F76A2B"/>
    <w:rsid w:val="00FB38A7"/>
    <w:rsid w:val="00FE7A16"/>
    <w:rsid w:val="00FF5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856E5"/>
    <w:pPr>
      <w:spacing w:after="0" w:line="240" w:lineRule="auto"/>
    </w:pPr>
    <w:rPr>
      <w:rFonts w:ascii="Times New Roman" w:eastAsia="Times New Roman" w:hAnsi="Times New Roman" w:cs="Times New Roman"/>
      <w:kern w:val="28"/>
      <w:sz w:val="26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816DC4"/>
    <w:pPr>
      <w:keepNext/>
      <w:jc w:val="center"/>
      <w:outlineLvl w:val="0"/>
    </w:pPr>
    <w:rPr>
      <w:kern w:val="0"/>
      <w:sz w:val="28"/>
      <w:szCs w:val="24"/>
    </w:rPr>
  </w:style>
  <w:style w:type="paragraph" w:styleId="2">
    <w:name w:val="heading 2"/>
    <w:basedOn w:val="a0"/>
    <w:next w:val="a0"/>
    <w:link w:val="20"/>
    <w:qFormat/>
    <w:rsid w:val="00816DC4"/>
    <w:pPr>
      <w:keepNext/>
      <w:jc w:val="center"/>
      <w:outlineLvl w:val="1"/>
    </w:pPr>
    <w:rPr>
      <w:rFonts w:ascii="Arial" w:hAnsi="Arial"/>
      <w:kern w:val="0"/>
      <w:sz w:val="20"/>
      <w:lang w:val="en-US"/>
    </w:rPr>
  </w:style>
  <w:style w:type="paragraph" w:styleId="3">
    <w:name w:val="heading 3"/>
    <w:aliases w:val="H3,&quot;Сапфир&quot;"/>
    <w:basedOn w:val="a0"/>
    <w:next w:val="a0"/>
    <w:link w:val="30"/>
    <w:qFormat/>
    <w:rsid w:val="00816DC4"/>
    <w:pPr>
      <w:keepNext/>
      <w:numPr>
        <w:ilvl w:val="2"/>
        <w:numId w:val="1"/>
      </w:numPr>
      <w:suppressAutoHyphens/>
      <w:spacing w:before="240" w:after="120"/>
      <w:outlineLvl w:val="2"/>
    </w:pPr>
    <w:rPr>
      <w:b/>
      <w:kern w:val="0"/>
      <w:sz w:val="28"/>
      <w:szCs w:val="24"/>
      <w:lang w:eastAsia="en-US"/>
    </w:rPr>
  </w:style>
  <w:style w:type="paragraph" w:styleId="4">
    <w:name w:val="heading 4"/>
    <w:basedOn w:val="a0"/>
    <w:next w:val="a0"/>
    <w:link w:val="40"/>
    <w:qFormat/>
    <w:rsid w:val="00816DC4"/>
    <w:pPr>
      <w:keepNext/>
      <w:spacing w:before="240" w:after="60"/>
      <w:outlineLvl w:val="3"/>
    </w:pPr>
    <w:rPr>
      <w:rFonts w:ascii="Calibri" w:hAnsi="Calibri"/>
      <w:b/>
      <w:bCs/>
      <w:kern w:val="0"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816DC4"/>
    <w:pPr>
      <w:spacing w:before="240" w:after="60"/>
      <w:outlineLvl w:val="4"/>
    </w:pPr>
    <w:rPr>
      <w:rFonts w:ascii="Calibri" w:hAnsi="Calibri"/>
      <w:b/>
      <w:bCs/>
      <w:i/>
      <w:iCs/>
      <w:kern w:val="0"/>
      <w:szCs w:val="26"/>
    </w:rPr>
  </w:style>
  <w:style w:type="paragraph" w:styleId="6">
    <w:name w:val="heading 6"/>
    <w:aliases w:val="H6"/>
    <w:basedOn w:val="a0"/>
    <w:next w:val="a0"/>
    <w:link w:val="60"/>
    <w:qFormat/>
    <w:rsid w:val="00816DC4"/>
    <w:pPr>
      <w:numPr>
        <w:ilvl w:val="5"/>
        <w:numId w:val="1"/>
      </w:numPr>
      <w:spacing w:before="240" w:after="60"/>
      <w:jc w:val="both"/>
      <w:outlineLvl w:val="5"/>
    </w:pPr>
    <w:rPr>
      <w:rFonts w:ascii="PetersburgCTT" w:hAnsi="PetersburgCTT"/>
      <w:i/>
      <w:kern w:val="0"/>
      <w:sz w:val="22"/>
      <w:szCs w:val="24"/>
      <w:lang w:eastAsia="en-US"/>
    </w:rPr>
  </w:style>
  <w:style w:type="paragraph" w:styleId="7">
    <w:name w:val="heading 7"/>
    <w:basedOn w:val="a0"/>
    <w:next w:val="a0"/>
    <w:link w:val="70"/>
    <w:qFormat/>
    <w:rsid w:val="00816DC4"/>
    <w:pPr>
      <w:numPr>
        <w:ilvl w:val="6"/>
        <w:numId w:val="1"/>
      </w:numPr>
      <w:spacing w:before="240" w:after="60"/>
      <w:jc w:val="both"/>
      <w:outlineLvl w:val="6"/>
    </w:pPr>
    <w:rPr>
      <w:rFonts w:ascii="PetersburgCTT" w:hAnsi="PetersburgCTT"/>
      <w:kern w:val="0"/>
      <w:sz w:val="22"/>
      <w:szCs w:val="24"/>
      <w:lang w:eastAsia="en-US"/>
    </w:rPr>
  </w:style>
  <w:style w:type="paragraph" w:styleId="8">
    <w:name w:val="heading 8"/>
    <w:basedOn w:val="a0"/>
    <w:next w:val="a0"/>
    <w:link w:val="80"/>
    <w:qFormat/>
    <w:rsid w:val="00816DC4"/>
    <w:pPr>
      <w:numPr>
        <w:ilvl w:val="7"/>
        <w:numId w:val="1"/>
      </w:numPr>
      <w:spacing w:before="240" w:after="60"/>
      <w:jc w:val="both"/>
      <w:outlineLvl w:val="7"/>
    </w:pPr>
    <w:rPr>
      <w:rFonts w:ascii="PetersburgCTT" w:hAnsi="PetersburgCTT"/>
      <w:i/>
      <w:kern w:val="0"/>
      <w:sz w:val="22"/>
      <w:szCs w:val="24"/>
      <w:lang w:eastAsia="en-US"/>
    </w:rPr>
  </w:style>
  <w:style w:type="paragraph" w:styleId="9">
    <w:name w:val="heading 9"/>
    <w:basedOn w:val="a0"/>
    <w:next w:val="a0"/>
    <w:link w:val="90"/>
    <w:qFormat/>
    <w:rsid w:val="00816DC4"/>
    <w:pPr>
      <w:numPr>
        <w:ilvl w:val="8"/>
        <w:numId w:val="1"/>
      </w:numPr>
      <w:spacing w:before="240" w:after="60"/>
      <w:jc w:val="both"/>
      <w:outlineLvl w:val="8"/>
    </w:pPr>
    <w:rPr>
      <w:rFonts w:ascii="PetersburgCTT" w:hAnsi="PetersburgCTT"/>
      <w:i/>
      <w:kern w:val="0"/>
      <w:sz w:val="1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7856E5"/>
    <w:pPr>
      <w:spacing w:after="200" w:line="276" w:lineRule="auto"/>
      <w:ind w:left="720"/>
      <w:contextualSpacing/>
    </w:pPr>
    <w:rPr>
      <w:rFonts w:eastAsia="Calibri"/>
      <w:kern w:val="0"/>
      <w:sz w:val="28"/>
      <w:szCs w:val="22"/>
      <w:lang w:eastAsia="en-US"/>
    </w:rPr>
  </w:style>
  <w:style w:type="paragraph" w:customStyle="1" w:styleId="ConsPlusNormal">
    <w:name w:val="ConsPlusNormal"/>
    <w:rsid w:val="007856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358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35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816D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816DC4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30">
    <w:name w:val="Заголовок 3 Знак"/>
    <w:aliases w:val="H3 Знак,&quot;Сапфир&quot; Знак"/>
    <w:basedOn w:val="a1"/>
    <w:link w:val="3"/>
    <w:rsid w:val="00816DC4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40">
    <w:name w:val="Заголовок 4 Знак"/>
    <w:basedOn w:val="a1"/>
    <w:link w:val="4"/>
    <w:rsid w:val="00816DC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816DC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816DC4"/>
    <w:rPr>
      <w:rFonts w:ascii="PetersburgCTT" w:eastAsia="Times New Roman" w:hAnsi="PetersburgCTT" w:cs="Times New Roman"/>
      <w:i/>
      <w:szCs w:val="24"/>
    </w:rPr>
  </w:style>
  <w:style w:type="character" w:customStyle="1" w:styleId="70">
    <w:name w:val="Заголовок 7 Знак"/>
    <w:basedOn w:val="a1"/>
    <w:link w:val="7"/>
    <w:rsid w:val="00816DC4"/>
    <w:rPr>
      <w:rFonts w:ascii="PetersburgCTT" w:eastAsia="Times New Roman" w:hAnsi="PetersburgCTT" w:cs="Times New Roman"/>
      <w:szCs w:val="24"/>
    </w:rPr>
  </w:style>
  <w:style w:type="character" w:customStyle="1" w:styleId="80">
    <w:name w:val="Заголовок 8 Знак"/>
    <w:basedOn w:val="a1"/>
    <w:link w:val="8"/>
    <w:rsid w:val="00816DC4"/>
    <w:rPr>
      <w:rFonts w:ascii="PetersburgCTT" w:eastAsia="Times New Roman" w:hAnsi="PetersburgCTT" w:cs="Times New Roman"/>
      <w:i/>
      <w:szCs w:val="24"/>
    </w:rPr>
  </w:style>
  <w:style w:type="character" w:customStyle="1" w:styleId="90">
    <w:name w:val="Заголовок 9 Знак"/>
    <w:basedOn w:val="a1"/>
    <w:link w:val="9"/>
    <w:rsid w:val="00816DC4"/>
    <w:rPr>
      <w:rFonts w:ascii="PetersburgCTT" w:eastAsia="Times New Roman" w:hAnsi="PetersburgCTT" w:cs="Times New Roman"/>
      <w:i/>
      <w:sz w:val="18"/>
      <w:szCs w:val="24"/>
    </w:rPr>
  </w:style>
  <w:style w:type="paragraph" w:customStyle="1" w:styleId="a5">
    <w:name w:val="Скобки буквы"/>
    <w:basedOn w:val="a0"/>
    <w:rsid w:val="00816DC4"/>
    <w:pPr>
      <w:tabs>
        <w:tab w:val="num" w:pos="360"/>
      </w:tabs>
      <w:ind w:left="360" w:hanging="360"/>
    </w:pPr>
    <w:rPr>
      <w:kern w:val="0"/>
      <w:sz w:val="20"/>
      <w:lang w:eastAsia="en-US"/>
    </w:rPr>
  </w:style>
  <w:style w:type="paragraph" w:styleId="31">
    <w:name w:val="Body Text Indent 3"/>
    <w:basedOn w:val="a0"/>
    <w:link w:val="32"/>
    <w:rsid w:val="00816DC4"/>
    <w:pPr>
      <w:ind w:firstLine="708"/>
      <w:jc w:val="both"/>
    </w:pPr>
    <w:rPr>
      <w:kern w:val="0"/>
      <w:sz w:val="28"/>
      <w:szCs w:val="24"/>
      <w:lang w:val="en-US" w:eastAsia="en-US"/>
    </w:rPr>
  </w:style>
  <w:style w:type="character" w:customStyle="1" w:styleId="32">
    <w:name w:val="Основной текст с отступом 3 Знак"/>
    <w:basedOn w:val="a1"/>
    <w:link w:val="31"/>
    <w:rsid w:val="00816DC4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33">
    <w:name w:val="Body Text 3"/>
    <w:basedOn w:val="a0"/>
    <w:link w:val="34"/>
    <w:rsid w:val="00816DC4"/>
    <w:pPr>
      <w:jc w:val="both"/>
    </w:pPr>
    <w:rPr>
      <w:kern w:val="0"/>
      <w:sz w:val="28"/>
      <w:szCs w:val="24"/>
      <w:lang w:eastAsia="en-US"/>
    </w:rPr>
  </w:style>
  <w:style w:type="character" w:customStyle="1" w:styleId="34">
    <w:name w:val="Основной текст 3 Знак"/>
    <w:basedOn w:val="a1"/>
    <w:link w:val="33"/>
    <w:rsid w:val="00816DC4"/>
    <w:rPr>
      <w:rFonts w:ascii="Times New Roman" w:eastAsia="Times New Roman" w:hAnsi="Times New Roman" w:cs="Times New Roman"/>
      <w:sz w:val="28"/>
      <w:szCs w:val="24"/>
    </w:rPr>
  </w:style>
  <w:style w:type="paragraph" w:customStyle="1" w:styleId="a6">
    <w:name w:val="Заголовок текста"/>
    <w:rsid w:val="00816DC4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7"/>
      <w:szCs w:val="20"/>
      <w:lang w:eastAsia="ru-RU"/>
    </w:rPr>
  </w:style>
  <w:style w:type="paragraph" w:customStyle="1" w:styleId="ConsNormal">
    <w:name w:val="ConsNormal"/>
    <w:rsid w:val="00816D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0"/>
    <w:link w:val="a8"/>
    <w:rsid w:val="00816DC4"/>
    <w:pPr>
      <w:autoSpaceDE w:val="0"/>
      <w:autoSpaceDN w:val="0"/>
      <w:jc w:val="right"/>
    </w:pPr>
    <w:rPr>
      <w:kern w:val="0"/>
      <w:sz w:val="28"/>
      <w:szCs w:val="24"/>
      <w:lang w:eastAsia="en-US"/>
    </w:rPr>
  </w:style>
  <w:style w:type="character" w:customStyle="1" w:styleId="a8">
    <w:name w:val="Основной текст Знак"/>
    <w:basedOn w:val="a1"/>
    <w:link w:val="a7"/>
    <w:rsid w:val="00816DC4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0"/>
    <w:link w:val="22"/>
    <w:rsid w:val="00816DC4"/>
    <w:pPr>
      <w:jc w:val="center"/>
    </w:pPr>
    <w:rPr>
      <w:kern w:val="0"/>
      <w:sz w:val="28"/>
      <w:szCs w:val="24"/>
    </w:rPr>
  </w:style>
  <w:style w:type="character" w:customStyle="1" w:styleId="22">
    <w:name w:val="Основной текст 2 Знак"/>
    <w:basedOn w:val="a1"/>
    <w:link w:val="21"/>
    <w:rsid w:val="00816D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0"/>
    <w:link w:val="aa"/>
    <w:rsid w:val="00816DC4"/>
    <w:pPr>
      <w:ind w:right="176" w:firstLine="709"/>
      <w:jc w:val="both"/>
      <w:outlineLvl w:val="1"/>
    </w:pPr>
    <w:rPr>
      <w:kern w:val="0"/>
      <w:sz w:val="24"/>
      <w:szCs w:val="24"/>
    </w:rPr>
  </w:style>
  <w:style w:type="character" w:customStyle="1" w:styleId="aa">
    <w:name w:val="Основной текст с отступом Знак"/>
    <w:basedOn w:val="a1"/>
    <w:link w:val="a9"/>
    <w:rsid w:val="00816DC4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0"/>
    <w:link w:val="24"/>
    <w:rsid w:val="00816DC4"/>
    <w:pPr>
      <w:ind w:right="176" w:firstLine="709"/>
      <w:jc w:val="both"/>
      <w:outlineLvl w:val="1"/>
    </w:pPr>
    <w:rPr>
      <w:kern w:val="0"/>
      <w:sz w:val="28"/>
      <w:szCs w:val="24"/>
    </w:rPr>
  </w:style>
  <w:style w:type="character" w:customStyle="1" w:styleId="24">
    <w:name w:val="Основной текст с отступом 2 Знак"/>
    <w:basedOn w:val="a1"/>
    <w:link w:val="23"/>
    <w:rsid w:val="00816D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rsid w:val="00816DC4"/>
    <w:rPr>
      <w:color w:val="0000FF"/>
      <w:u w:val="single"/>
    </w:rPr>
  </w:style>
  <w:style w:type="paragraph" w:styleId="ac">
    <w:name w:val="footer"/>
    <w:basedOn w:val="a0"/>
    <w:link w:val="ad"/>
    <w:uiPriority w:val="99"/>
    <w:rsid w:val="00816DC4"/>
    <w:pPr>
      <w:tabs>
        <w:tab w:val="center" w:pos="4153"/>
        <w:tab w:val="right" w:pos="8306"/>
      </w:tabs>
    </w:pPr>
    <w:rPr>
      <w:kern w:val="0"/>
      <w:sz w:val="24"/>
      <w:szCs w:val="24"/>
    </w:rPr>
  </w:style>
  <w:style w:type="character" w:customStyle="1" w:styleId="ad">
    <w:name w:val="Нижний колонтитул Знак"/>
    <w:basedOn w:val="a1"/>
    <w:link w:val="ac"/>
    <w:uiPriority w:val="99"/>
    <w:rsid w:val="00816DC4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1"/>
    <w:rsid w:val="00816DC4"/>
  </w:style>
  <w:style w:type="paragraph" w:customStyle="1" w:styleId="a">
    <w:name w:val="Нумерованный абзац"/>
    <w:rsid w:val="00816DC4"/>
    <w:pPr>
      <w:numPr>
        <w:numId w:val="2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f">
    <w:name w:val="Balloon Text"/>
    <w:basedOn w:val="a0"/>
    <w:link w:val="af0"/>
    <w:semiHidden/>
    <w:rsid w:val="00816DC4"/>
    <w:rPr>
      <w:rFonts w:ascii="Tahoma" w:hAnsi="Tahoma" w:cs="Tahoma"/>
      <w:kern w:val="0"/>
      <w:sz w:val="16"/>
      <w:szCs w:val="16"/>
    </w:rPr>
  </w:style>
  <w:style w:type="character" w:customStyle="1" w:styleId="af0">
    <w:name w:val="Текст выноски Знак"/>
    <w:basedOn w:val="a1"/>
    <w:link w:val="af"/>
    <w:semiHidden/>
    <w:rsid w:val="00816DC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0"/>
    <w:link w:val="af2"/>
    <w:uiPriority w:val="99"/>
    <w:semiHidden/>
    <w:rsid w:val="00816DC4"/>
    <w:rPr>
      <w:kern w:val="0"/>
      <w:sz w:val="20"/>
    </w:rPr>
  </w:style>
  <w:style w:type="character" w:customStyle="1" w:styleId="af2">
    <w:name w:val="Текст сноски Знак"/>
    <w:basedOn w:val="a1"/>
    <w:link w:val="af1"/>
    <w:uiPriority w:val="99"/>
    <w:semiHidden/>
    <w:rsid w:val="00816D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816DC4"/>
    <w:rPr>
      <w:vertAlign w:val="superscript"/>
    </w:rPr>
  </w:style>
  <w:style w:type="paragraph" w:styleId="af4">
    <w:name w:val="header"/>
    <w:basedOn w:val="a0"/>
    <w:link w:val="af5"/>
    <w:uiPriority w:val="99"/>
    <w:rsid w:val="00816DC4"/>
    <w:pPr>
      <w:tabs>
        <w:tab w:val="center" w:pos="4677"/>
        <w:tab w:val="right" w:pos="9355"/>
      </w:tabs>
    </w:pPr>
    <w:rPr>
      <w:kern w:val="0"/>
      <w:sz w:val="24"/>
      <w:szCs w:val="24"/>
    </w:rPr>
  </w:style>
  <w:style w:type="character" w:customStyle="1" w:styleId="af5">
    <w:name w:val="Верхний колонтитул Знак"/>
    <w:basedOn w:val="a1"/>
    <w:link w:val="af4"/>
    <w:uiPriority w:val="99"/>
    <w:rsid w:val="00816DC4"/>
    <w:rPr>
      <w:rFonts w:ascii="Times New Roman" w:eastAsia="Times New Roman" w:hAnsi="Times New Roman" w:cs="Times New Roman"/>
      <w:sz w:val="24"/>
      <w:szCs w:val="24"/>
    </w:rPr>
  </w:style>
  <w:style w:type="paragraph" w:styleId="25">
    <w:name w:val="Body Text First Indent 2"/>
    <w:basedOn w:val="a9"/>
    <w:link w:val="26"/>
    <w:rsid w:val="00816DC4"/>
    <w:pPr>
      <w:spacing w:after="120"/>
      <w:ind w:left="283" w:right="0" w:firstLine="210"/>
      <w:jc w:val="left"/>
      <w:outlineLvl w:val="9"/>
    </w:pPr>
  </w:style>
  <w:style w:type="character" w:customStyle="1" w:styleId="26">
    <w:name w:val="Красная строка 2 Знак"/>
    <w:basedOn w:val="aa"/>
    <w:link w:val="25"/>
    <w:rsid w:val="00816DC4"/>
  </w:style>
  <w:style w:type="paragraph" w:customStyle="1" w:styleId="11">
    <w:name w:val="Знак1 Знак Знак Знак"/>
    <w:basedOn w:val="a0"/>
    <w:rsid w:val="00816DC4"/>
    <w:rPr>
      <w:rFonts w:ascii="Verdana" w:hAnsi="Verdana" w:cs="Verdana"/>
      <w:kern w:val="0"/>
      <w:sz w:val="20"/>
      <w:lang w:val="en-US" w:eastAsia="en-US"/>
    </w:rPr>
  </w:style>
  <w:style w:type="paragraph" w:styleId="af6">
    <w:name w:val="Revision"/>
    <w:hidden/>
    <w:uiPriority w:val="99"/>
    <w:semiHidden/>
    <w:rsid w:val="0081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Гипертекстовая ссылка"/>
    <w:uiPriority w:val="99"/>
    <w:rsid w:val="00816DC4"/>
    <w:rPr>
      <w:color w:val="106BBE"/>
    </w:rPr>
  </w:style>
  <w:style w:type="paragraph" w:styleId="af8">
    <w:name w:val="List Bullet"/>
    <w:basedOn w:val="a7"/>
    <w:autoRedefine/>
    <w:rsid w:val="00816DC4"/>
    <w:pPr>
      <w:suppressAutoHyphens/>
      <w:autoSpaceDE/>
      <w:autoSpaceDN/>
      <w:ind w:firstLine="709"/>
      <w:jc w:val="both"/>
    </w:pPr>
    <w:rPr>
      <w:szCs w:val="28"/>
    </w:rPr>
  </w:style>
  <w:style w:type="paragraph" w:customStyle="1" w:styleId="ConsTitle">
    <w:name w:val="ConsTitle"/>
    <w:uiPriority w:val="99"/>
    <w:rsid w:val="00816DC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9">
    <w:name w:val="Table Grid"/>
    <w:basedOn w:val="a2"/>
    <w:rsid w:val="00816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3">
    <w:name w:val="Char Style 13"/>
    <w:link w:val="Style12"/>
    <w:uiPriority w:val="99"/>
    <w:locked/>
    <w:rsid w:val="00816DC4"/>
    <w:rPr>
      <w:sz w:val="26"/>
      <w:szCs w:val="26"/>
      <w:shd w:val="clear" w:color="auto" w:fill="FFFFFF"/>
    </w:rPr>
  </w:style>
  <w:style w:type="paragraph" w:customStyle="1" w:styleId="Style12">
    <w:name w:val="Style 12"/>
    <w:basedOn w:val="a0"/>
    <w:link w:val="CharStyle13"/>
    <w:uiPriority w:val="99"/>
    <w:rsid w:val="00816DC4"/>
    <w:pPr>
      <w:widowControl w:val="0"/>
      <w:shd w:val="clear" w:color="auto" w:fill="FFFFFF"/>
      <w:spacing w:before="1440" w:after="180" w:line="367" w:lineRule="exact"/>
      <w:ind w:hanging="360"/>
      <w:jc w:val="both"/>
    </w:pPr>
    <w:rPr>
      <w:rFonts w:asciiTheme="minorHAnsi" w:eastAsiaTheme="minorHAnsi" w:hAnsiTheme="minorHAnsi" w:cstheme="minorBidi"/>
      <w:kern w:val="0"/>
      <w:szCs w:val="26"/>
      <w:lang w:eastAsia="en-US"/>
    </w:rPr>
  </w:style>
  <w:style w:type="table" w:customStyle="1" w:styleId="12">
    <w:name w:val="Сетка таблицы1"/>
    <w:basedOn w:val="a2"/>
    <w:next w:val="af9"/>
    <w:uiPriority w:val="59"/>
    <w:rsid w:val="00816DC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3"/>
    <w:uiPriority w:val="99"/>
    <w:semiHidden/>
    <w:unhideWhenUsed/>
    <w:rsid w:val="00816DC4"/>
  </w:style>
  <w:style w:type="numbering" w:customStyle="1" w:styleId="27">
    <w:name w:val="Нет списка2"/>
    <w:next w:val="a3"/>
    <w:uiPriority w:val="99"/>
    <w:semiHidden/>
    <w:unhideWhenUsed/>
    <w:rsid w:val="00123B98"/>
  </w:style>
  <w:style w:type="table" w:customStyle="1" w:styleId="28">
    <w:name w:val="Сетка таблицы2"/>
    <w:basedOn w:val="a2"/>
    <w:next w:val="af9"/>
    <w:uiPriority w:val="59"/>
    <w:rsid w:val="00097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3"/>
    <w:uiPriority w:val="99"/>
    <w:semiHidden/>
    <w:unhideWhenUsed/>
    <w:rsid w:val="000719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F5378-8E3F-42F1-B177-7B3402D9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11</Pages>
  <Words>4227</Words>
  <Characters>24098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28269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zheleznyakova.m.v</dc:creator>
  <cp:lastModifiedBy>Елена Анатольевна</cp:lastModifiedBy>
  <cp:revision>41</cp:revision>
  <cp:lastPrinted>2020-08-05T11:28:00Z</cp:lastPrinted>
  <dcterms:created xsi:type="dcterms:W3CDTF">2023-09-18T05:41:00Z</dcterms:created>
  <dcterms:modified xsi:type="dcterms:W3CDTF">2025-09-04T03:40:00Z</dcterms:modified>
</cp:coreProperties>
</file>