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3409315</wp:posOffset>
                </wp:positionH>
                <wp:positionV relativeFrom="paragraph">
                  <wp:posOffset>-67310</wp:posOffset>
                </wp:positionV>
                <wp:extent cx="2646680" cy="1168400"/>
                <wp:effectExtent l="0" t="0" r="0" b="0"/>
                <wp:wrapNone/>
                <wp:docPr id="1" name="shape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720" cy="116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>
                            <w:pPr>
                              <w:pStyle w:val="user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>
                            <w:pPr>
                              <w:pStyle w:val="user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Аргаяшского</w:t>
                            </w:r>
                          </w:p>
                          <w:p>
                            <w:pPr>
                              <w:pStyle w:val="user3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>округа</w:t>
                            </w:r>
                          </w:p>
                          <w:p>
                            <w:pPr>
                              <w:pStyle w:val="user3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от                 </w:t>
                              <w:tab/>
                              <w:t xml:space="preserve">    г.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user3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36360" rIns="36360" t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0" path="m0,0l-2147483645,0l-2147483645,-2147483646l0,-2147483646xe" fillcolor="white" stroked="f" o:allowincell="f" style="position:absolute;margin-left:268.45pt;margin-top:-5.3pt;width:208.35pt;height:91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false"/>
                          <w:sz w:val="28"/>
                          <w:szCs w:val="28"/>
                        </w:rPr>
                        <w:t>УТВЕРЖДЕНА</w:t>
                      </w:r>
                    </w:p>
                    <w:p>
                      <w:pPr>
                        <w:pStyle w:val="user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>
                      <w:pPr>
                        <w:pStyle w:val="user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Аргаяшского</w:t>
                      </w:r>
                    </w:p>
                    <w:p>
                      <w:pPr>
                        <w:pStyle w:val="user3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муниципального 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>округа</w:t>
                      </w:r>
                    </w:p>
                    <w:p>
                      <w:pPr>
                        <w:pStyle w:val="user3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от                 </w:t>
                        <w:tab/>
                        <w:t xml:space="preserve">    г.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>
                      <w:pPr>
                        <w:pStyle w:val="user3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«УКРЕПЛЕНИЕ ОБЩЕСТВЕННОГО ЗДОРОВЬЯ НА ТЕРРИТОРИИ АРГАЯШСКОГО МУНИЦИПАЛЬНОГО ОКРУГА»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2026-2028 годы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user7"/>
        <w:keepNext w:val="true"/>
        <w:numPr>
          <w:ilvl w:val="0"/>
          <w:numId w:val="3"/>
        </w:numPr>
        <w:pBdr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>
      <w:pPr>
        <w:pStyle w:val="user7"/>
        <w:keepNext w:val="true"/>
        <w:pBdr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Разработка и реализация настоящей муниципальной программы «Укрепление общественного здоровья </w:t>
      </w:r>
      <w:r>
        <w:rPr>
          <w:rFonts w:eastAsia="Times New Roman" w:cs="Times New Roman" w:ascii="Times New Roman" w:hAnsi="Times New Roman"/>
          <w:sz w:val="28"/>
          <w:szCs w:val="28"/>
        </w:rPr>
        <w:t>на 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Аргаяшско</w:t>
      </w:r>
      <w:r>
        <w:rPr>
          <w:rFonts w:eastAsia="Times New Roman" w:cs="Times New Roman" w:ascii="Times New Roman" w:hAnsi="Times New Roman"/>
          <w:sz w:val="28"/>
          <w:szCs w:val="28"/>
        </w:rPr>
        <w:t>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муниципально</w:t>
      </w:r>
      <w:r>
        <w:rPr>
          <w:rFonts w:eastAsia="Times New Roman" w:cs="Times New Roman" w:ascii="Times New Roman" w:hAnsi="Times New Roman"/>
          <w:sz w:val="28"/>
          <w:szCs w:val="28"/>
        </w:rPr>
        <w:t>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округ</w:t>
      </w:r>
      <w:r>
        <w:rPr>
          <w:rFonts w:eastAsia="Times New Roman" w:cs="Times New Roman" w:ascii="Times New Roman" w:hAnsi="Times New Roman"/>
          <w:sz w:val="28"/>
          <w:szCs w:val="28"/>
        </w:rPr>
        <w:t>а»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 2026–2028 годы вызвана совокупностью острейших социальных, демографических и медицинских проблем, сложившихся как на территории округа, так в Челябинской области, и в Российской Федерации в целом.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современном российском обществе проблема массовой наркотизации населения выходит на одно из первых мест, представляя прямую угрозу демографической безопасности и социальной стабильности государства. Усложняется ситуация, связанная с активизацией транснациональной преступности, появлением новых видов наркотических средств и психотропных веществ. Это ведет к устойчивому сокращению численности населения, в первую очередь — молодого трудоспособного.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Аргаяшском муниципальном округе сохраняется тенденция снижения численности населения: с 40 412 человек на 01.01.2021г.  до 39 152  на 01.01.2025г. Население представлено сельскими жителями, доля трудоспособного населения составляет более 50%, однако отмечается сокращение численности мужчин и общий демографический спад.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Особую тревогу вызывает тот факт, что Аргаяшский муниципальный округ традиционно находится среди территорий с высоким уровнем алкоголизации населения. Наркомания и алкоголизм, а также связанная с ними преступность, приобретают все более значительные масштабы. Количество лиц, допускающих немедицинское потребление психоактивных веществ (ПАВ), с каждым годом увеличивается. Особую обеспокоенность вызывает распространенность этих явлений среди молодежи, детей и подростков.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Согласно исследованиям специалистов ООН, каждый потребитель наркотиков за свою жизнь вовлекает в наркоманию до 30 человек. В Российской Федерации только каждый пятый потребитель наркотиков находится под наркологическим наблюдением, остальные составляют латентную (скрытую) группу, которая является постоянным источником распространения зависимости.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Ситуация в сфере общественного здоровья в Аргаяшском округе характеризуется следующими негативными тенденциями: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Высокая смертность от внешних причин и хронических неинфекционных заболеваний (ХНИЗ): Несмотря на некоторое снижение общего коэффициента смертности, отмечается рост смертности от инфаркта миокарда, цереброваскулярных болезней и внешних причин (включая ДТП). Это свидетельствует о низком уровне первичной профилактики и позднем выявлении заболеваний.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Распространенность факторов риска: Основной причиной высокой заболеваемости ХНИЗ является большая распространенность предотвратимых факторов риска. Лидирующие позиции занимают поведенческие факторы: избыточная масса тела и ожирение (связанные с низкой физической активностью), курение табака и нерациональное питание. Эти же факторы являются фундаментом для развития алкогольной и наркотической зависимости.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user7"/>
        <w:pBdr/>
        <w:spacing w:lineRule="auto" w:line="29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II. Описание приоритетов и целей муниципальной политики в сфере реализации муниципальной программы</w:t>
      </w:r>
    </w:p>
    <w:p>
      <w:pPr>
        <w:pStyle w:val="user7"/>
        <w:pBdr/>
        <w:ind w:firstLine="709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Приоритетами муниципальной политики являются: сохранение и укрепление здоровья населения; формирование культуры здорового образа жизни и ответственного отношения к здоровью; снижение уровня немедицинского потребления наркотиков и противодействие их незаконному обороту; вовлечение молодёжи в занятия физической культурой, спортом и общественно полезной деятельностью; повышение информированности населения о профилактике хронических заболеваний и наркопотребления.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Основная цель программы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увеличение доли граждан, ведущих здоровый образ жизни, к 2030 году в 1,5 раза, снижение уровня немедицинского потребления наркотиков и противодействие их незаконному обороту на территории Аргаяшского муниципального округа.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Основные направления программы: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Сохранение населения, улучшение здоровья и качества жизни населения, формирование культуры общественного здоровья и ответственного отношения к здоровью на территории Аргаяшского муниципального округа.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Разработка и применение эффективных, комплексных мер, направленных на профилактику наркомании (алкоголизма) и противодействие злоупотреблению наркотическими средствами и их незаконному обороту на территории Аргаяшского муниципального округа, а также формирование у подрастающего поколения и молодежи позитивного отношения к жизни</w:t>
      </w:r>
    </w:p>
    <w:p>
      <w:pPr>
        <w:pStyle w:val="user7"/>
        <w:pBdr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user7"/>
        <w:keepNext w:val="true"/>
        <w:pBdr/>
        <w:spacing w:lineRule="auto" w:line="29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III. Сведения о взаимоувязке со стратегическими приоритетами, целями и показателями государственных программ</w:t>
      </w:r>
    </w:p>
    <w:p>
      <w:pPr>
        <w:pStyle w:val="user7"/>
        <w:pBdr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Программа взаимоувязана с национальными целями развития Российской Федерации (Указ Президента РФ от 07.05.2024 № 309), с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федеральным проектом «Здоровье для каждого»</w:t>
      </w:r>
      <w:r>
        <w:rPr>
          <w:rFonts w:cs="Times New Roman" w:ascii="Times New Roman" w:hAnsi="Times New Roman"/>
          <w:sz w:val="28"/>
          <w:szCs w:val="28"/>
        </w:rPr>
        <w:t xml:space="preserve"> в рамках национального проекта «Продолжительная и активная жизнь» и стратегией государственной антинаркотической политики Российской Федерации на период до 2030, утвержденной Указом Президента РФ от 23 ноября 2020 г. № 733.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user7"/>
        <w:pBdr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Целевые показатели программы соответствуют индикаторам государственных программ: рост ожидаемой продолжительности жизни, увеличение доли граждан, ведущих здоровый образ жизни, охват диспансеризацией, снижение заболеваемости наркоманией.</w:t>
      </w:r>
    </w:p>
    <w:p>
      <w:pPr>
        <w:pStyle w:val="user7"/>
        <w:pBdr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user7"/>
        <w:keepNext w:val="true"/>
        <w:pBdr/>
        <w:spacing w:lineRule="auto" w:line="293"/>
        <w:jc w:val="center"/>
        <w:rPr>
          <w:rStyle w:val="Strong"/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user7"/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Задачи:</w:t>
      </w:r>
    </w:p>
    <w:p>
      <w:pPr>
        <w:pStyle w:val="user7"/>
        <w:numPr>
          <w:ilvl w:val="0"/>
          <w:numId w:val="2"/>
        </w:numPr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Повышение информированности населения о здоровом образе жизни и профилактике хронических заболеваний.</w:t>
      </w:r>
    </w:p>
    <w:p>
      <w:pPr>
        <w:pStyle w:val="user7"/>
        <w:numPr>
          <w:ilvl w:val="0"/>
          <w:numId w:val="2"/>
        </w:numPr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Формирование среды, способствующей ведению ЗОЖ (доступ к спорту, здоровому питанию, снижение потребления алкоголя и табака).</w:t>
      </w:r>
    </w:p>
    <w:p>
      <w:pPr>
        <w:pStyle w:val="user7"/>
        <w:numPr>
          <w:ilvl w:val="0"/>
          <w:numId w:val="2"/>
        </w:numPr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Вовлечение молодёжи в занятия физической культурой и спортом, создание условий для их занятости.</w:t>
      </w:r>
    </w:p>
    <w:p>
      <w:pPr>
        <w:pStyle w:val="user7"/>
        <w:numPr>
          <w:ilvl w:val="0"/>
          <w:numId w:val="2"/>
        </w:numPr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Совершенствование системы профилактики наркомании и алкоголизма среди молодёжи и несовершеннолетних.</w:t>
      </w:r>
    </w:p>
    <w:p>
      <w:pPr>
        <w:pStyle w:val="user7"/>
        <w:numPr>
          <w:ilvl w:val="0"/>
          <w:numId w:val="2"/>
        </w:numPr>
        <w:pBdr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Проведение мероприятий по противодействию незаконному обороту наркотиков.</w:t>
      </w:r>
    </w:p>
    <w:p>
      <w:pPr>
        <w:pStyle w:val="user7"/>
        <w:numPr>
          <w:ilvl w:val="0"/>
          <w:numId w:val="2"/>
        </w:numPr>
        <w:pBdr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Увеличение числа публикаций в СМИ по вопросам ЗОЖ и профилактики наркомании.</w:t>
      </w:r>
    </w:p>
    <w:p>
      <w:pPr>
        <w:pStyle w:val="user7"/>
        <w:pBdr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Способы решения: </w:t>
      </w:r>
      <w:r>
        <w:rPr>
          <w:rFonts w:eastAsia="Times New Roman" w:cs="Times New Roman" w:ascii="Times New Roman" w:hAnsi="Times New Roman"/>
          <w:sz w:val="28"/>
          <w:szCs w:val="28"/>
        </w:rPr>
        <w:t>межведомственное взаимодействие (образование, здравоохранение, культура, спорт, социальная защита, правоохранительные органы);проведение массовых профилактических мероприятий, акций, конкурсов; организация информационно-коммуникационных кампаний; развитие волонтёрского движения и вовлечение молодёжи в профилактическую работу; мониторинг и оценка эффективности реализации программы по утверждённым показателям.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8" w:right="850" w:gutter="0" w:header="181" w:top="426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ConsPlus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before="108" w:after="108"/>
        <w:jc w:val="center"/>
        <w:outlineLvl w:val="1"/>
        <w:rPr>
          <w:bCs/>
          <w:sz w:val="28"/>
          <w:szCs w:val="28"/>
        </w:rPr>
      </w:pPr>
      <w:bookmarkStart w:id="0" w:name="P408"/>
      <w:bookmarkEnd w:id="0"/>
      <w:r>
        <w:rPr>
          <w:bCs/>
          <w:sz w:val="28"/>
          <w:szCs w:val="28"/>
        </w:rPr>
        <w:t>Перечень муниципальных программ</w:t>
      </w:r>
    </w:p>
    <w:p>
      <w:pPr>
        <w:pStyle w:val="Normal"/>
        <w:widowControl w:val="false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2445" w:type="dxa"/>
        <w:jc w:val="left"/>
        <w:tblInd w:w="2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3360"/>
        <w:gridCol w:w="2449"/>
        <w:gridCol w:w="2661"/>
        <w:gridCol w:w="3276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Ответственный куратор муниципальной программы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«Укрепление общественного здоровья на территории Аргаяшского муниципального округа» на 2026-2028 годы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Заместитель Главы — Мусина Г.Н.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ГБУЗ «Районная больница с. Аргаяш.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 администрации Аргаяшского муниципального округа.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Управление культуры и молодежной политики администрации Аргаяшского муниципального округа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Управление социальной защиты населения Аргаяшского муниципального района (УСЗН).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МУ «Комплексный центр социального обслуживания населения» Аргаяшского муниципального округа.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МУ АМО «Физкультура и спорт».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МБУ ФОК «Аргаяшский Олимп».</w:t>
            </w: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МБУ «</w:t>
            </w:r>
            <w:r>
              <w:rPr>
                <w:color w:val="000000"/>
                <w:sz w:val="24"/>
                <w:szCs w:val="24"/>
              </w:rPr>
              <w:t>Централизованная библиотечная система» администрации Аргаяшского муниципального округа.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Общественные движения и объединения.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Управление по работе с территориями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8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8"/>
      <w:bookmarkEnd w:id="1"/>
      <w:r>
        <w:rPr>
          <w:rFonts w:cs="Times New Roman" w:ascii="Times New Roman" w:hAnsi="Times New Roman"/>
          <w:sz w:val="28"/>
          <w:szCs w:val="28"/>
        </w:rPr>
        <w:t>Муниципальная программа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«Укрепление общественного здоровья на территории Аргаяшского муниципального округа» </w:t>
      </w:r>
      <w:r>
        <w:rPr>
          <w:rFonts w:cs="Times New Roman" w:ascii="Times New Roman" w:hAnsi="Times New Roman"/>
          <w:sz w:val="28"/>
          <w:szCs w:val="28"/>
        </w:rPr>
        <w:t>на 2026-2028 годы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Оценка текущего состояния соответствующей сферы социально-экономического развития муниципального образования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II. Описание приоритетов и целей муниципальной политики в сфере реализации муниципальной программы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Сведения о взаимоувязке со стратегическими приоритетами, целями и показателями государственных программ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0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3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91"/>
      <w:bookmarkEnd w:id="2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"Укрепление общественного здоровья на территории Аргаяшского муниципального округ</w:t>
      </w:r>
      <w:r>
        <w:rPr>
          <w:rFonts w:cs="Times New Roman" w:ascii="Times New Roman" w:hAnsi="Times New Roman"/>
          <w:sz w:val="28"/>
          <w:szCs w:val="28"/>
        </w:rPr>
        <w:t xml:space="preserve">а» </w:t>
      </w:r>
      <w:r>
        <w:rPr>
          <w:rFonts w:cs="Times New Roman" w:ascii="Times New Roman" w:hAnsi="Times New Roman"/>
          <w:sz w:val="28"/>
          <w:szCs w:val="28"/>
        </w:rPr>
        <w:t>на 2026-2028 годы"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232" w:type="dxa"/>
        <w:jc w:val="left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684"/>
        <w:gridCol w:w="10547"/>
      </w:tblGrid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Заместитель Главы — Мусина Гульнара Нурылловна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1.ГБУЗ «Районная больница с. Аргаяш.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2.Управление образования администрации Аргаяшского муниципального округа.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3.Управление культуры и молодежной политики администрации Аргаяшского муниципального округа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4.Управление социальной защиты населения Аргаяшского муниципального района (УСЗН).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5.МУ «Комплексный центр социального обслуживания населения» Аргаяшского муниципального округа.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6.МУ АМО «Физкультура и спорт».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7.МБУ ФОК «Аргаяшский Олимп», МБУ «Централизованная библиотечная система» администрации Аргаяшского муниципального округа.</w:t>
            </w:r>
          </w:p>
          <w:p>
            <w:pPr>
              <w:pStyle w:val="NoSpacing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8.Общественные движения и объединения.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Управление по работе с территориями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2026-2028 годы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— Увеличение доли граждан, ведущих здоровый образ жизни, к 2030 году, в 1,5 раза, снижение уровня немедицинского потребления наркотиков и противодействие их незаконному обороту на территории Аргаяшского муниципального округа.</w:t>
            </w:r>
          </w:p>
        </w:tc>
      </w:tr>
      <w:tr>
        <w:trPr/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1 Сохранение населения, улучшение здоровья и качества жизни населения, формирование культуры общественного здоровья и ответственного отношения к здоровью на территории Аргаяшского муниципального округа.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2 "Разработка и применение эффективных, комплексных мер, направленных на профилактику наркомании (алкоголизма) и противодействие злоупотреблению наркотическими средствами и их незаконному обороту на территории Аргаяшского муниципального округа, а также формирование у подрастающего поколения и молодежи позитивного отношения к жизни.</w:t>
            </w:r>
          </w:p>
        </w:tc>
      </w:tr>
      <w:tr>
        <w:trPr/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Объем финансового обеспечения за счет средств бюджета  округа за весь период реализации муниципальной программы на 2026 - 2028 год составит – </w:t>
            </w:r>
            <w:r>
              <w:rPr>
                <w:color w:val="auto"/>
                <w:sz w:val="24"/>
                <w:szCs w:val="24"/>
              </w:rPr>
              <w:t>210</w:t>
            </w:r>
            <w:r>
              <w:rPr>
                <w:color w:val="auto"/>
                <w:sz w:val="24"/>
                <w:szCs w:val="24"/>
              </w:rPr>
              <w:t>,00 рублей, в том числе по годам:</w:t>
            </w:r>
          </w:p>
          <w:p>
            <w:pPr>
              <w:pStyle w:val="NoSpacing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2026году – 70,00 тыс. рублей;</w:t>
            </w:r>
          </w:p>
          <w:p>
            <w:pPr>
              <w:pStyle w:val="NoSpacing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2027 году – 70,00 тыс. рублей;</w:t>
            </w:r>
          </w:p>
          <w:p>
            <w:pPr>
              <w:pStyle w:val="NoSpacing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2028 году – 70,00 тыс. рублей;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Связь с национальными целями развития Российской Федерации (Указ Президента РФ от 07.05.2024 № 309), с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федеральным проектом «Здоровье для каждого»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в рамках национального проекта «Продолжительная и активная жизнь» и стратегией государственной антинаркотической политики Российской Федерации на период до 2030, утвержденной Указом Президента РФ от 23 ноября 2020 г. № 733. Увеличение доли граждан, ведущих здоровый образ жизни, к 2030 году в 1,5 раза.</w:t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3" w:name="P530"/>
      <w:bookmarkStart w:id="4" w:name="P530"/>
      <w:bookmarkEnd w:id="4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92" w:type="dxa"/>
        <w:jc w:val="left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85"/>
        <w:gridCol w:w="2245"/>
        <w:gridCol w:w="1742"/>
        <w:gridCol w:w="2749"/>
        <w:gridCol w:w="1388"/>
        <w:gridCol w:w="1526"/>
        <w:gridCol w:w="1368"/>
        <w:gridCol w:w="34"/>
        <w:gridCol w:w="2511"/>
        <w:gridCol w:w="29"/>
        <w:gridCol w:w="113"/>
      </w:tblGrid>
      <w:tr>
        <w:trPr/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4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Цель муниципальной программы "</w:t>
            </w:r>
            <w:r>
              <w:rPr>
                <w:sz w:val="24"/>
                <w:szCs w:val="24"/>
              </w:rPr>
              <w:t>Разработка и применение эффективных, комплексных мер, направленных на профилактику наркомании (алкоголизма) и противодействие злоупотреблению наркотическими средствами и их незаконному обороту на территории Аргаяшского муниципального округа, а также формирование у подрастающего поколения и молодежи позитивного отношения к жизни.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публикаций в СМИ (в т.ч. в социальных сетях) по профилактике наркомании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Администрация Аргаяшского муниципального округа, 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редакция районной газеты «Восход»,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ОМВД Аргаяшского района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Количество профилактических мероприятий для подростков и молодежи в возрасте от 11 до 35 лет, проживающих на территории Аргаяшского муниципального округа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Управление культуры и молодежной политики 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дминистрация Аргаяшского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МУ АМО «Физкультура и спорт» 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дминистрация Аргаяшского муниципального округа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Цель муниципальной программы</w:t>
            </w:r>
            <w:r>
              <w:rPr>
                <w:rFonts w:cs="Tinos" w:ascii="Tinos" w:hAnsi="Tinos"/>
                <w:color w:val="000000"/>
                <w:sz w:val="24"/>
                <w:szCs w:val="24"/>
              </w:rPr>
              <w:t xml:space="preserve"> "Увеличение доли граждан, ведущих здоровый образ жизни </w:t>
            </w: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территории Аргаяшского муниципального округа.</w:t>
            </w:r>
            <w:r>
              <w:rPr>
                <w:rFonts w:cs="Tinos" w:ascii="Tinos" w:hAnsi="Tinos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  <w:t>Доля граждан ведущих здоровый образ жизни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cs="Tinos" w:ascii="Tinos" w:hAnsi="Tinos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АМО «Физкультура и спорт»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  <w:t>Увеличение доли граждан, охваченных профилактическими мероприятиями, направленными на укрепление общественного здоровья, профилактику неинфекционных заболеваний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ГБУЗ «Районная больница с. Аргаяш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Увеличение охвата граждан по прохождению диспансеризации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ГБУЗ «Районная больница с. Аргаяш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Количество публикаций в СМИ и информационно-телекоммуникационной сети «Интернет», направленных на формирование системы мотивации граждан к ЗОЖ, включая здоровое питание и отказ от вредных привычек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Администрация Аргаяшского муниципального округа, 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редакция районной газеты «Восход»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Распространенность курения  табака в возрасте до 15 лет и старше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2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ГБУЗ «Районная больница с. Аргаяш</w:t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5" w:name="P688"/>
      <w:bookmarkStart w:id="6" w:name="P688"/>
      <w:bookmarkEnd w:id="6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План достижения показателей</w:t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 *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16" w:type="dxa"/>
        <w:jc w:val="left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80"/>
        <w:gridCol w:w="2138"/>
        <w:gridCol w:w="1275"/>
        <w:gridCol w:w="773"/>
        <w:gridCol w:w="773"/>
        <w:gridCol w:w="772"/>
        <w:gridCol w:w="773"/>
        <w:gridCol w:w="773"/>
        <w:gridCol w:w="776"/>
        <w:gridCol w:w="773"/>
        <w:gridCol w:w="773"/>
        <w:gridCol w:w="773"/>
        <w:gridCol w:w="773"/>
        <w:gridCol w:w="772"/>
        <w:gridCol w:w="1419"/>
      </w:tblGrid>
      <w:tr>
        <w:trPr/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конец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года &lt;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&gt;</w:t>
            </w:r>
          </w:p>
        </w:tc>
      </w:tr>
      <w:tr>
        <w:trPr/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4"/>
              </w:rPr>
              <w:t>Доля граждан ведущих здоровый образ жизни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4"/>
              </w:rPr>
              <w:t>Увеличение доли граждан, охваченных профилактическими мероприятиями, направленными на укрепление общественного здоровья, профилактику неинфекционных заболеваний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Увеличение охвата граждан по прохождению диспансеризации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83</w:t>
            </w:r>
          </w:p>
        </w:tc>
      </w:tr>
      <w:tr>
        <w:trPr/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Распространенность курения  табака в возрасте до 15 лет и старше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19,5</w:t>
            </w:r>
          </w:p>
        </w:tc>
      </w:tr>
      <w:tr>
        <w:trPr/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Количество публикаций в СМИ и информационно-телекоммуникационной сети «Интернет», направленных на формирование системы мотивации граждан к ЗОЖ, включая здоровое питание и отказ от вредных привычек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публикаций в СМИ (в т.ч. в социальных сетях) по профилактике наркомании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лет, проживающих на территории Аргаяшского муниципального округа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7" w:name="P804"/>
      <w:bookmarkStart w:id="8" w:name="P804"/>
      <w:bookmarkEnd w:id="8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*Заполняется при наличии соответствующих показателей в паспорте Программы с учетом выбранной периодичности наблюдения. В случае если  отсутствуют такие показатели в Паспорте программы, то вместо Таблицы прописывается текстом об отсутствии соответствующих показателей.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46"/>
        <w:gridCol w:w="4996"/>
        <w:gridCol w:w="4996"/>
        <w:gridCol w:w="3731"/>
      </w:tblGrid>
      <w:tr>
        <w:trPr>
          <w:tblHeader w:val="true"/>
          <w:trHeight w:val="1245" w:hRule="atLeast"/>
          <w:cantSplit w:val="true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Разработка и применение эффективных, комплексных мер, направленных на профилактику наркомании (алкоголизма) и противодействие злоупотреблению наркотическими средствами и их незаконному обороту на территории Аргаяшского муниципального округа, а также формирование у подрастающего поколения и молодежи позитивного отношения к жизни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  Комплекс процессных мероприятий «Противодействие незаконному обороту наркотических средств и профилактика наркомании»</w:t>
            </w:r>
          </w:p>
        </w:tc>
      </w:tr>
      <w:tr>
        <w:trPr/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Администрация Аргаяшского муниципального округа</w:t>
            </w:r>
          </w:p>
        </w:tc>
        <w:tc>
          <w:tcPr>
            <w:tcW w:w="8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(2026 - 2028гг)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целенаправленной работы по осуществлению комплексных мер по профилактике распространения наркомании.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5"/>
              <w:spacing w:lineRule="auto" w:line="360"/>
              <w:rPr/>
            </w:pPr>
            <w:r>
              <w:rPr>
                <w:sz w:val="24"/>
                <w:szCs w:val="24"/>
              </w:rPr>
              <w:t>Снижение уровня немедицинского потребления наркотиков среди молодежи. Повышение информированности о вреде ПАВ.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5"/>
              <w:spacing w:lineRule="auto" w:line="360"/>
              <w:rPr/>
            </w:pPr>
            <w:r>
              <w:rPr>
                <w:sz w:val="24"/>
                <w:szCs w:val="24"/>
              </w:rPr>
              <w:t>Количество профилактических мероприятий для молодежи; Количество публикаций по профилактике наркомании.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Совершенствование системы профилактики наркомании среди различных категорий населения, прежде всего среди молодежи и несовершеннолетних.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Раннее выявление потребителей ПАВ. Снижение вовлечения несовершеннолетних в наркопреступность. Снижение латентной наркопреступности.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Количество профилактических мероприятий для молодежи; Количество публикаций по профилактике наркомании.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работы по профилактике распространения наркомании и связанных с ней правонарушений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Повышение уровня защищенности граждан от наркоугрозы. Снижение наркопреступности в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е. Улучшение криминогенной обстановки.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профилактических мероприятий для молодежи; Количество публикаций по профилактике наркомании.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.1.4.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массовых мероприятий по пропаганде здорового образа жизни.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Популяризация спорта и ЗОЖ как альтернативы ПАВ. Вовлечение молодежи в социально-активную деятельность. Формирование негативного отношения к вредным привычкам.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в возрасте 3–79 лет, систематически занимающихся физической культурой и спортом; Количество публикаций по ЗОЖ; Количество публикаций по профилактике наркоман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Увеличение доли граждан, ведущих здоровый образ жизни, к 2030 году в 1,5 раза на территории Аргаяшского муниципального округа.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 Комплекс процессных мероприятий «Пропаганда здорового образа жизни»</w:t>
            </w:r>
          </w:p>
        </w:tc>
      </w:tr>
      <w:tr>
        <w:trPr/>
        <w:tc>
          <w:tcPr>
            <w:tcW w:w="5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Администрация Аргаяшского муниципального округа</w:t>
            </w:r>
          </w:p>
        </w:tc>
        <w:tc>
          <w:tcPr>
            <w:tcW w:w="8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(2026 - 2028)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1:Повышение информированности населения в вопросах профилактики хронических неинфекционных заболеваний и формирования здорового образа жизни.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 уровня поведенческих факторов риска (курение, алкоголь, гиподинамия). Повышение мотивации к ведению ЗОЖ.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граждан, охваченных профилактическими мероприятиями; Охват диспансеризацией; Количество публикаций по ЗОЖ.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2: Формирование культуры здорового образа жизни и профилактика хронических неинфекционных заболеваний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доли граждан, ведущих активный образ жизни. Укрепление здоровья населения. Снижение смертности от внешних причин.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граждан, ведущих здоровый образ жизни,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3: Увеличение доли лиц, мотивированных к ведению гражданами здорового образа жизни в рамках реализации муниципальной программы общественного здоровья и корпоративных программ укрепления здоровья работников предприятий.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5"/>
              <w:spacing w:lineRule="auto" w:line="360"/>
              <w:rPr/>
            </w:pPr>
            <w:r>
              <w:rPr>
                <w:sz w:val="24"/>
                <w:szCs w:val="24"/>
              </w:rPr>
              <w:t>Создание системы мотивации к ЗОЖ на предприятиях. Снижение заболеваемости работников. Снижение потерь рабочего времени.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5"/>
              <w:spacing w:lineRule="auto" w:line="360"/>
              <w:rPr/>
            </w:pPr>
            <w:r>
              <w:rPr>
                <w:sz w:val="24"/>
                <w:szCs w:val="24"/>
              </w:rPr>
              <w:t>Темпы прироста укрепления здоровья работников и предприятий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877"/>
      <w:bookmarkEnd w:id="9"/>
      <w:r>
        <w:rPr>
          <w:rFonts w:cs="Times New Roman" w:ascii="Times New Roman" w:hAnsi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1"/>
        <w:gridCol w:w="1875"/>
        <w:gridCol w:w="1878"/>
        <w:gridCol w:w="1731"/>
        <w:gridCol w:w="1878"/>
        <w:gridCol w:w="2016"/>
      </w:tblGrid>
      <w:tr>
        <w:trPr/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5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360,00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80"/>
      <w:bookmarkStart w:id="11" w:name="P1378"/>
      <w:bookmarkStart w:id="12" w:name="P1379"/>
      <w:bookmarkEnd w:id="10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>&lt;1&gt; Здесь и далее указывается итоговый (годовой) показатель.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81"/>
      <w:bookmarkEnd w:id="13"/>
      <w:r>
        <w:rPr>
          <w:rFonts w:cs="Times New Roman" w:ascii="Times New Roman" w:hAnsi="Times New Roman"/>
          <w:sz w:val="28"/>
          <w:szCs w:val="28"/>
        </w:rPr>
        <w:t>&lt;2&gt; Региональный или муниципальный проекты.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822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5</w:t>
      </w:r>
    </w:p>
    <w:p>
      <w:pPr>
        <w:pStyle w:val="ConsPlusNormal"/>
        <w:ind w:left="82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2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«Противодействие незаконному обороту наркотических средств профилактика наркомании»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752"/>
        <w:gridCol w:w="5817"/>
      </w:tblGrid>
      <w:tr>
        <w:trPr/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Аргаяшского муниципального округа,ГБУЗ «Районная больница с. Аргаяш», Управление культуры и молодежной политики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53"/>
        <w:gridCol w:w="3844"/>
        <w:gridCol w:w="1766"/>
        <w:gridCol w:w="3511"/>
        <w:gridCol w:w="1595"/>
        <w:gridCol w:w="1473"/>
        <w:gridCol w:w="1527"/>
      </w:tblGrid>
      <w:tr>
        <w:trPr/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1. Задачи комплекса процессных мероприятий "Разработка и применение эффективных, комплексных мер, направленных на профилактику наркомании (алкоголизма) и противодействие злоупотреблению наркотическими средствами и их незаконному обороту на территории Аргаяшского муниципального округа, а также формирование у подрастающего поколения и молодежи позитивного отношения к жизни."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лет, проживающих на территории Аргаяшского муниципального округа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55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7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задачи: </w:t>
              <w:tab/>
              <w:t>Информационно-просветительская работа по профилактике наркомании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публикаций в СМИ (в т.ч. в социальных сетях) по профилактике наркомании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58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0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70" w:type="dxa"/>
        <w:jc w:val="left"/>
        <w:tblInd w:w="1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1"/>
        <w:gridCol w:w="4396"/>
        <w:gridCol w:w="1369"/>
        <w:gridCol w:w="2034"/>
        <w:gridCol w:w="2243"/>
        <w:gridCol w:w="1253"/>
        <w:gridCol w:w="965"/>
        <w:gridCol w:w="1647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показателя по годам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4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Наименование задачи комплекса процессных мероприятий: Мероприятия по профилактике наркомании и противодействию злоупотреблению наркотическими средствами  и их незаконному обороту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лекций, бесед, классных часов в образовательных учреждениях района.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массовых спортивных соревнований, спартакиад, турниров среди молодежи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книжных выставок и проведение обзоров литературы в библиотеках района.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лет.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антинаркотического месячника «Вместе против наркотиков».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лет.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Размещение материалов в районной газете «Восход» и на официальном сайте администрации (argayash.ru)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публикаций в СМИ (в т.ч. в социальных сетях) по профилактике наркомании.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>
          <w:trHeight w:val="44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Ведение тематических рубрик и публикация постов в социальных сетях администрации округа, учреждений культуры и спорта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Количество публикаций в СМИ (в т.ч. в социальных сетях) по профилактике наркомании.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межведомственных рейдов по выявлению и уничтожению дикорастущих наркосодержащих растений.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(Показатель носит организационный характер, результат фиксируется в актах рейдов)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margin" w:tblpXSpec="left" w:rightFromText="18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79"/>
        <w:gridCol w:w="1632"/>
        <w:gridCol w:w="1634"/>
        <w:gridCol w:w="1638"/>
        <w:gridCol w:w="1631"/>
        <w:gridCol w:w="1638"/>
        <w:gridCol w:w="242"/>
      </w:tblGrid>
      <w:tr>
        <w:trPr/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36" w:hRule="atLeast"/>
        </w:trPr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Комплекс процессных мероприятий «Противодействие незаконному обороту наркотических средств и профилактика наркомании»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Мероприятия по профилактике наркомании и противодействию злоупотреблению наркотическими средствами  и их незаконному обороту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5. План по реализации комплекса процессных мероприятий</w:t>
      </w:r>
    </w:p>
    <w:tbl>
      <w:tblPr>
        <w:tblW w:w="1500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4"/>
        <w:gridCol w:w="5124"/>
        <w:gridCol w:w="2094"/>
        <w:gridCol w:w="3177"/>
        <w:gridCol w:w="3731"/>
      </w:tblGrid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r>
              <w:rPr>
                <w:rStyle w:val="Hyperlink"/>
                <w:color w:val="auto"/>
                <w:sz w:val="28"/>
                <w:szCs w:val="28"/>
              </w:rPr>
              <w:t>*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Дата наступления контрольной точки</w:t>
            </w: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1*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  <w:lang w:val="en-US"/>
              </w:rPr>
              <w:t>Ответственный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Противодействие незаконному обороту наркотических средств и профилактика наркомании</w:t>
            </w:r>
          </w:p>
        </w:tc>
      </w:tr>
      <w:tr>
        <w:trPr>
          <w:trHeight w:val="378" w:hRule="atLeast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Созданы мероприятия по профилактике наркомании и противодействию злоупотреблению наркотическими средствами  и их незаконному обороту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1.1: Закупка товаров, работ и услуг для обеспечения государственных и (муниципальных) нужд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Согласно условиям муниципальных контрактов  (договоров)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Товарная накладная, акт о приемке выполненных работ; платежное поручение</w:t>
            </w:r>
          </w:p>
        </w:tc>
      </w:tr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1.2.:  Проведение профилактических мероприятий с раздачей информационной продукции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1.3: Освещение в СМИ деятельности  администрации Аргаяшского муниципального округа, правоохранительных органов в профилактики наркомании на территории Аргаяшского муниципального округа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округа, Отдел МВД России по Аргаяшскому муниципальному округу Челябинской области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Статьи в общественно-политической газете «Восход»</w:t>
            </w:r>
          </w:p>
        </w:tc>
      </w:tr>
      <w:tr>
        <w:trPr/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1.4: Проведение антинаркотической комиссии Аргаяшского муниципального округа на 2026 год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антинаркотическая комиссия Аргаяшского муниципального округа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Протокол</w:t>
            </w:r>
          </w:p>
        </w:tc>
      </w:tr>
    </w:tbl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50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50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307"/>
      <w:bookmarkEnd w:id="14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«Пропаганда здорового образа жизни»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007"/>
        <w:gridCol w:w="5987"/>
      </w:tblGrid>
      <w:tr>
        <w:trPr/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78"/>
        <w:gridCol w:w="3956"/>
        <w:gridCol w:w="1817"/>
        <w:gridCol w:w="3614"/>
        <w:gridCol w:w="1642"/>
        <w:gridCol w:w="1516"/>
        <w:gridCol w:w="1571"/>
      </w:tblGrid>
      <w:tr>
        <w:trPr/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задачи: Увеличение доли граждан, ведущих здоровый образ жизни, к 2030 году в 1,5 раза на территории Аргаяшского муниципального округа</w:t>
            </w:r>
          </w:p>
        </w:tc>
      </w:tr>
      <w:tr>
        <w:trPr/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доли граждан, ведущих здоровый образ жизни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</w:tr>
      <w:tr>
        <w:trPr/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охвата граждан по прохождению диспансеризации определенных групп взрослого населения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</w:tr>
      <w:tr>
        <w:trPr/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распространенности курения табака в возрасте 15 лет и старше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18,5</w:t>
            </w:r>
          </w:p>
        </w:tc>
      </w:tr>
      <w:tr>
        <w:trPr/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задачи: </w:t>
              <w:tab/>
              <w:t>Информационно-просветительская работа по формированию мотивации к ЗОЖ</w:t>
            </w:r>
          </w:p>
        </w:tc>
      </w:tr>
      <w:tr>
        <w:trPr/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публикаций в СМИ и информационно-телекоммуникационной сети «Интернет», направленных на формирование системы мотивации граждан к ЗОЖ, включая здоровое питание и отказ от вредных привычек (алкоголь, табак) и наркотиков (в рамках пропаганды ЗОЖ)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70" w:type="dxa"/>
        <w:jc w:val="left"/>
        <w:tblInd w:w="1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1"/>
        <w:gridCol w:w="4396"/>
        <w:gridCol w:w="1369"/>
        <w:gridCol w:w="2034"/>
        <w:gridCol w:w="2243"/>
        <w:gridCol w:w="1253"/>
        <w:gridCol w:w="965"/>
        <w:gridCol w:w="1647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показателя по годам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</w:tr>
      <w:tr>
        <w:trPr>
          <w:trHeight w:val="49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4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Наименование задачи комплекса процессных мероприятий: Формирование культуры здорового образа жизни и профилактика хронических неинфекционных заболеваний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доли граждан, охваченных профилактическими мероприятиями, направленными на укрепление общественного здоровья, профилактику неинфекционных заболеваний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дней здоровья, лекций и семинаров в трудовых коллективах и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охвата граждан по прохождению диспансеризации определенных групп взрослого населения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скринингов и консультаций по коррекции факторов риска в рамках диспансеризации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</w:tr>
      <w:tr>
        <w:trPr/>
        <w:tc>
          <w:tcPr>
            <w:tcW w:w="14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Наименование задачи комплекса процессных мероприятий: Увеличение доли граждан, ведущих здоровый образ жизни, к 2030 году в 1,5 раза на территории Аргаяшского муниципального округа.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массовых спортивных мероприятий (спартакиады, фестивали ГТО)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</w:tr>
      <w:tr>
        <w:trPr/>
        <w:tc>
          <w:tcPr>
            <w:tcW w:w="14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Наименование задачи комплекса процессных мероприятий: Информационно-просветительская работа по формированию мотивации к ЗОЖ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Количество публикаций в СМИ и информационно-телекоммуникационной сети «Интернет», направленных на формирование системы мотивации граждан к ЗОЖ, включая здоровое питание и отказ от вредных привычек (алкоголь, табак)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Style w:val="Strong"/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Размещение материалов в районной газете «Восход» и на официальном сайте администрации (argayash.ru)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Ведение тематических рубрик и публикация постов в социальных сетях администрации округа, учреждений культуры и спорта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margin" w:tblpXSpec="left" w:rightFromText="18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78"/>
        <w:gridCol w:w="1631"/>
        <w:gridCol w:w="1636"/>
        <w:gridCol w:w="1636"/>
        <w:gridCol w:w="1633"/>
        <w:gridCol w:w="1638"/>
        <w:gridCol w:w="242"/>
      </w:tblGrid>
      <w:tr>
        <w:trPr/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«Пропаганда здорового образа жизни</w:t>
            </w:r>
            <w:r>
              <w:rPr>
                <w:rFonts w:eastAsia="font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Мероприятия по формированию здорового образа жизни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4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5"/>
        <w:gridCol w:w="5123"/>
        <w:gridCol w:w="2096"/>
        <w:gridCol w:w="3146"/>
        <w:gridCol w:w="3755"/>
      </w:tblGrid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r>
              <w:rPr>
                <w:rStyle w:val="Hyperlink"/>
                <w:color w:val="auto"/>
                <w:sz w:val="28"/>
                <w:szCs w:val="28"/>
              </w:rPr>
              <w:t>*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Дата наступления контрольной точки</w:t>
            </w: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1*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Ответственный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Пропаганда здорового образа жизни</w:t>
            </w:r>
          </w:p>
        </w:tc>
      </w:tr>
      <w:tr>
        <w:trPr>
          <w:trHeight w:val="37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Созданы условия по формированию здорового образа жизни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1.1: Закупка товаров, работ и услуг для обеспечения государственных и (муниципальных) нужд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Согласно условиям муниципальных контрактов  (договоров)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Товарная накладная, акт о приемке выполненных работ; платежное поручение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1.2.:  Проведение профилактических мероприятий с раздачей информационной продукции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1.3: Освещение в СМИ деятельности  администрации Аргаяшского муниципального округа, правоохранительных органов в сфере укрепления общественного здоровья на территории Аргаяшского муниципального округа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округа, Отдел МВД России по Аргаяшскому муниципальному округу Челябинской области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Статьи в общественно-политической газете «Восход»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4"/>
                <w:szCs w:val="24"/>
              </w:rPr>
              <w:t>Контрольная точка 1.4: Проведение Совета по укреплению общественного здоровья на территории Аргаяшского муниципального округа на 2026 год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4"/>
                <w:szCs w:val="24"/>
              </w:rPr>
              <w:t>Совет  по укреплению общественного здоровья на территории Аргаяшского муниципального округа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sz w:val="24"/>
                <w:szCs w:val="24"/>
              </w:rPr>
              <w:t>Протокол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50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6</w:t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"/>
        <w:gridCol w:w="3289"/>
        <w:gridCol w:w="2321"/>
        <w:gridCol w:w="2150"/>
        <w:gridCol w:w="1236"/>
        <w:gridCol w:w="1186"/>
        <w:gridCol w:w="1187"/>
        <w:gridCol w:w="1019"/>
        <w:gridCol w:w="1533"/>
        <w:gridCol w:w="38"/>
      </w:tblGrid>
      <w:tr>
        <w:trPr/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Расходы (тыс. руб.), годы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"Укрепление общественного здоровья"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8" w:hRule="atLeast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«Противодействие их незаконному обороту наркотических средств профилактика наркомании»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профилактике наркомании и противодействию злоупотреблению наркотическими средствами  и их незаконному обороту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38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tbl>
      <w:tblPr>
        <w:tblW w:w="1499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0"/>
        <w:gridCol w:w="3342"/>
        <w:gridCol w:w="2358"/>
        <w:gridCol w:w="2184"/>
        <w:gridCol w:w="1256"/>
        <w:gridCol w:w="1205"/>
        <w:gridCol w:w="1206"/>
        <w:gridCol w:w="1035"/>
        <w:gridCol w:w="1319"/>
        <w:gridCol w:w="40"/>
      </w:tblGrid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"Пропаганда здорового образа жизни"</w:t>
            </w:r>
          </w:p>
        </w:tc>
        <w:tc>
          <w:tcPr>
            <w:tcW w:w="4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формированию здорового образа жизни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  <w:tr>
        <w:trPr/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</w:tr>
      <w:tr>
        <w:trPr/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00,00</w:t>
            </w:r>
          </w:p>
        </w:tc>
      </w:tr>
      <w:tr>
        <w:trPr/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</w:tbl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850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Методика расчета и источники информации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значениях целевых показателей муниципальной программы,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показателей структурных элементов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Укрепление общественного здоровья на территории Аргаяшского муниципального округа на 2026-2028 годы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(наименование муниципальной программы)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7"/>
        <w:gridCol w:w="4684"/>
        <w:gridCol w:w="4686"/>
        <w:gridCol w:w="4567"/>
      </w:tblGrid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Расчет целевого показателя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Источник получения информации о целевых показателях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424" w:hRule="atLeast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Муниципальная программа «Укрепление общественного здоровья на территории Аргаяшского муниципального округа на 2026-2028 годы»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Доля граждан ведущих здоровый образ жизни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АМО «Физкультура и спорт»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Совет Ветеранов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Увеличение доли граждан, охваченных профилактическими мероприятиями, направленными на укрепление общественного здоровья, профилактику неинфекционных заболеваний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25"/>
              <w:jc w:val="both"/>
              <w:rPr/>
            </w:pPr>
            <w:r>
              <w:rPr>
                <w:sz w:val="24"/>
                <w:szCs w:val="24"/>
                <w:lang w:eastAsia="ru-RU"/>
              </w:rPr>
              <w:t>ГБУЗ «Районная больница с. Аргаяш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Увеличение охвата граждан по прохождению диспансеризации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25"/>
              <w:jc w:val="both"/>
              <w:rPr/>
            </w:pPr>
            <w:r>
              <w:rPr>
                <w:sz w:val="24"/>
                <w:szCs w:val="24"/>
                <w:lang w:eastAsia="ru-RU"/>
              </w:rPr>
              <w:t>ГБУЗ «Районная больница с. Аргаяш</w:t>
            </w:r>
          </w:p>
        </w:tc>
      </w:tr>
      <w:tr>
        <w:trPr>
          <w:trHeight w:val="375" w:hRule="atLeast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Распространенность курения табака в возрасте 15 лет и старше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25"/>
              <w:jc w:val="both"/>
              <w:rPr/>
            </w:pPr>
            <w:r>
              <w:rPr>
                <w:sz w:val="24"/>
                <w:szCs w:val="24"/>
                <w:lang w:eastAsia="ru-RU"/>
              </w:rPr>
              <w:t>ГБУЗ «Районная больница с. Аргаяш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публикаций в СМИ и информационно-телекоммуникационной сети «Интернет», направленных на формирование системы мотивации граждан к ЗОЖ, включая здоровое питание и отказ от вредных привычек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редакция районной газеты «Восход»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публикаций в СМИ (в т.ч. в социальных сетях) по профилактике наркомании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2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Аргаяшского муниципального округа,</w:t>
            </w:r>
          </w:p>
          <w:p>
            <w:pPr>
              <w:pStyle w:val="Normal"/>
              <w:widowControl w:val="false"/>
              <w:spacing w:lineRule="atLeast" w:line="0" w:before="0" w:after="2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редакция районной газеты «Восход»</w:t>
            </w:r>
          </w:p>
          <w:p>
            <w:pPr>
              <w:pStyle w:val="Normal"/>
              <w:widowControl w:val="false"/>
              <w:spacing w:lineRule="atLeast" w:line="0" w:before="0" w:after="25"/>
              <w:jc w:val="both"/>
              <w:rPr/>
            </w:pPr>
            <w:r>
              <w:rPr>
                <w:sz w:val="24"/>
                <w:szCs w:val="24"/>
                <w:lang w:eastAsia="ru-RU"/>
              </w:rPr>
              <w:t>ОМВД Аргаяшского района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лет, проживающих на территории Аргаяшского муниципального округа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культуры и молодежной политики;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Администрация Аргаяшского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МУ АМО «Физкультура и спорт» а</w:t>
            </w:r>
            <w:r>
              <w:rPr>
                <w:sz w:val="24"/>
                <w:szCs w:val="24"/>
                <w:lang w:eastAsia="ru-RU"/>
              </w:rPr>
              <w:t>дминистрации Аргаяшского муниципального округа</w:t>
            </w:r>
          </w:p>
        </w:tc>
      </w:tr>
    </w:tbl>
    <w:p>
      <w:pPr>
        <w:pStyle w:val="ConsPlus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headerReference w:type="even" r:id="rId8"/>
      <w:headerReference w:type="default" r:id="rId9"/>
      <w:headerReference w:type="first" r:id="rId10"/>
      <w:type w:val="nextPage"/>
      <w:pgSz w:orient="landscape" w:w="16838" w:h="11906"/>
      <w:pgMar w:left="709" w:right="1134" w:gutter="0" w:header="72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isLgl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eastAsia="zh-CN" w:val="ru-RU" w:bidi="ar-SA"/>
    </w:rPr>
  </w:style>
  <w:style w:type="paragraph" w:styleId="Heading1" w:customStyle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spacing w:before="600" w:after="120"/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link w:val="Heading2Char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 w:customStyle="1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 w:customStyle="1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2" w:customStyle="1">
    <w:name w:val="Название Знак2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cs="Times New Roman"/>
    </w:rPr>
  </w:style>
  <w:style w:type="character" w:styleId="WW8Num1z0" w:customStyle="1">
    <w:name w:val="WW8Num1z0"/>
    <w:qFormat/>
    <w:rPr>
      <w:rFonts w:cs="Times New Roman"/>
    </w:rPr>
  </w:style>
  <w:style w:type="character" w:styleId="1" w:customStyle="1">
    <w:name w:val="Заголовок 1 Знак"/>
    <w:basedOn w:val="DefaultParagraphFont"/>
    <w:qFormat/>
    <w:rPr>
      <w:rFonts w:cs="Times New Roman"/>
      <w:b/>
      <w:sz w:val="44"/>
    </w:rPr>
  </w:style>
  <w:style w:type="character" w:styleId="22" w:customStyle="1">
    <w:name w:val="Заголовок 2 Знак"/>
    <w:basedOn w:val="DefaultParagraphFont"/>
    <w:qFormat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Style11" w:customStyle="1">
    <w:name w:val="Текст выноски Знак"/>
    <w:qFormat/>
    <w:rPr>
      <w:rFonts w:ascii="Tahoma" w:hAnsi="Tahoma" w:cs="Tahoma"/>
      <w:sz w:val="16"/>
    </w:rPr>
  </w:style>
  <w:style w:type="character" w:styleId="Style12" w:customStyle="1">
    <w:name w:val="Основной текст Знак"/>
    <w:basedOn w:val="DefaultParagraphFont"/>
    <w:qFormat/>
    <w:rPr>
      <w:rFonts w:cs="Times New Roman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23" w:customStyle="1">
    <w:name w:val="Основной текст (2)"/>
    <w:qFormat/>
    <w:rPr>
      <w:rFonts w:ascii="Times New Roman" w:hAnsi="Times New Roman" w:cs="Times New Roman"/>
      <w:color w:val="000000"/>
      <w:spacing w:val="0"/>
      <w:sz w:val="28"/>
      <w:u w:val="none"/>
      <w:lang w:val="ru-RU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Style13" w:customStyle="1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Style14" w:customStyle="1">
    <w:name w:val="Цветовое выделение для Текст"/>
    <w:qFormat/>
    <w:rPr/>
  </w:style>
  <w:style w:type="character" w:styleId="Style15" w:customStyle="1">
    <w:name w:val="Абзац списка Знак"/>
    <w:qFormat/>
    <w:rPr/>
  </w:style>
  <w:style w:type="character" w:styleId="Style16" w:customStyle="1">
    <w:name w:val="Название Знак"/>
    <w:basedOn w:val="DefaultParagraphFont"/>
    <w:qFormat/>
    <w:rPr>
      <w:rFonts w:cs="Times New Roman"/>
      <w:b/>
      <w:sz w:val="24"/>
    </w:rPr>
  </w:style>
  <w:style w:type="character" w:styleId="Style17" w:customStyle="1">
    <w:name w:val="Текст примечания Знак"/>
    <w:basedOn w:val="DefaultParagraphFont"/>
    <w:qFormat/>
    <w:rPr>
      <w:rFonts w:ascii="Calibri" w:hAnsi="Calibri" w:cs="Times New Roman"/>
      <w:lang w:val="en-US"/>
    </w:rPr>
  </w:style>
  <w:style w:type="character" w:styleId="Style18" w:customStyle="1">
    <w:name w:val="Нижний колонтитул Знак"/>
    <w:basedOn w:val="DefaultParagraphFont"/>
    <w:qFormat/>
    <w:rPr>
      <w:rFonts w:cs="Times New Roman"/>
    </w:rPr>
  </w:style>
  <w:style w:type="character" w:styleId="Style19" w:customStyle="1">
    <w:name w:val="Верхний колонтитул Знак"/>
    <w:basedOn w:val="DefaultParagraphFont"/>
    <w:qFormat/>
    <w:rPr>
      <w:rFonts w:cs="Times New Roman"/>
    </w:rPr>
  </w:style>
  <w:style w:type="character" w:styleId="Style20" w:customStyle="1">
    <w:name w:val="Тема примечания Знак"/>
    <w:basedOn w:val="Style17"/>
    <w:qFormat/>
    <w:rPr>
      <w:b/>
      <w:bCs/>
    </w:rPr>
  </w:style>
  <w:style w:type="character" w:styleId="11" w:customStyle="1">
    <w:name w:val="Основной текст Знак1"/>
    <w:basedOn w:val="DefaultParagraphFont"/>
    <w:qFormat/>
    <w:rPr/>
  </w:style>
  <w:style w:type="character" w:styleId="12" w:customStyle="1">
    <w:name w:val="Верхний колонтитул Знак1"/>
    <w:basedOn w:val="DefaultParagraphFont"/>
    <w:qFormat/>
    <w:rPr/>
  </w:style>
  <w:style w:type="character" w:styleId="13" w:customStyle="1">
    <w:name w:val="Текст выноски Знак1"/>
    <w:basedOn w:val="DefaultParagraphFont"/>
    <w:qFormat/>
    <w:rPr>
      <w:rFonts w:ascii="Tahoma" w:hAnsi="Tahoma" w:cs="Tahoma"/>
      <w:sz w:val="16"/>
      <w:szCs w:val="16"/>
    </w:rPr>
  </w:style>
  <w:style w:type="character" w:styleId="14" w:customStyle="1">
    <w:name w:val="Название Знак1"/>
    <w:basedOn w:val="DefaultParagraphFont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15" w:customStyle="1">
    <w:name w:val="Текст примечания Знак1"/>
    <w:basedOn w:val="DefaultParagraphFont"/>
    <w:qFormat/>
    <w:rPr/>
  </w:style>
  <w:style w:type="character" w:styleId="16" w:customStyle="1">
    <w:name w:val="Нижний колонтитул Знак1"/>
    <w:basedOn w:val="DefaultParagraphFont"/>
    <w:qFormat/>
    <w:rPr/>
  </w:style>
  <w:style w:type="character" w:styleId="17" w:customStyle="1">
    <w:name w:val="Тема примечания Знак1"/>
    <w:basedOn w:val="Style17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user" w:customStyle="1">
    <w:name w:val="Символ нумерации (user)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Title">
    <w:name w:val="Title"/>
    <w:basedOn w:val="Normal"/>
    <w:next w:val="Normal"/>
    <w:link w:val="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Normal"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jc w:val="center"/>
    </w:pPr>
    <w:rPr>
      <w:b/>
      <w:sz w:val="24"/>
    </w:rPr>
  </w:style>
  <w:style w:type="paragraph" w:styleId="Index1">
    <w:name w:val="index 1"/>
    <w:basedOn w:val="Normal"/>
    <w:next w:val="Normal"/>
    <w:pPr>
      <w:ind w:hanging="200" w:left="200"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Normal"/>
    <w:link w:val="HeaderChar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lang w:val="en-US"/>
    </w:rPr>
  </w:style>
  <w:style w:type="paragraph" w:styleId="docdata" w:customStyle="1">
    <w:name w:val="docdata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bidi w:val="0"/>
      <w:spacing w:before="0" w:after="0"/>
      <w:ind w:hanging="10" w:left="10"/>
      <w:jc w:val="both"/>
    </w:pPr>
    <w:rPr>
      <w:rFonts w:ascii="Times New Roman" w:hAnsi="Times New Roman" w:eastAsia="Noto Serif CJK SC" w:cs="FreeSans"/>
      <w:color w:val="000000"/>
      <w:kern w:val="0"/>
      <w:sz w:val="28"/>
      <w:szCs w:val="22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cs="Calibri" w:eastAsia="Noto Serif CJK SC"/>
      <w:color w:val="auto"/>
      <w:kern w:val="0"/>
      <w:sz w:val="22"/>
      <w:szCs w:val="22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cs="Calibri" w:eastAsia="Noto Serif CJK SC"/>
      <w:b/>
      <w:color w:val="auto"/>
      <w:kern w:val="0"/>
      <w:sz w:val="22"/>
      <w:szCs w:val="22"/>
      <w:lang w:eastAsia="zh-CN" w:val="ru-RU" w:bidi="ar-SA"/>
    </w:rPr>
  </w:style>
  <w:style w:type="paragraph" w:styleId="CommentText">
    <w:name w:val="annotation text"/>
    <w:basedOn w:val="Normal"/>
    <w:pPr>
      <w:spacing w:before="0" w:after="200"/>
    </w:pPr>
    <w:rPr>
      <w:rFonts w:ascii="Calibri" w:hAnsi="Calibri"/>
    </w:rPr>
  </w:style>
  <w:style w:type="paragraph" w:styleId="Footer" w:customStyle="1">
    <w:name w:val="footer"/>
    <w:basedOn w:val="Normal"/>
    <w:link w:val="FooterChar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Noto Serif CJK SC"/>
      <w:color w:val="auto"/>
      <w:kern w:val="0"/>
      <w:sz w:val="20"/>
      <w:szCs w:val="22"/>
      <w:lang w:eastAsia="zh-CN" w:val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Noto Serif CJK SC"/>
      <w:color w:val="auto"/>
      <w:kern w:val="0"/>
      <w:sz w:val="20"/>
      <w:szCs w:val="22"/>
      <w:lang w:eastAsia="zh-CN" w:val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Calibri" w:hAnsi="Calibri" w:cs="Calibri" w:eastAsia="Noto Serif CJK SC"/>
      <w:color w:val="auto"/>
      <w:kern w:val="0"/>
      <w:sz w:val="22"/>
      <w:szCs w:val="22"/>
      <w:lang w:eastAsia="zh-CN" w:val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Noto Serif CJK SC"/>
      <w:color w:val="auto"/>
      <w:kern w:val="0"/>
      <w:sz w:val="20"/>
      <w:szCs w:val="22"/>
      <w:lang w:eastAsia="zh-CN" w:val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Noto Serif CJK SC"/>
      <w:color w:val="auto"/>
      <w:kern w:val="0"/>
      <w:sz w:val="26"/>
      <w:szCs w:val="22"/>
      <w:lang w:eastAsia="zh-CN" w:val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Arial" w:hAnsi="Arial" w:cs="Arial" w:eastAsia="Noto Serif CJK SC"/>
      <w:color w:val="auto"/>
      <w:kern w:val="0"/>
      <w:sz w:val="20"/>
      <w:szCs w:val="22"/>
      <w:lang w:eastAsia="zh-CN" w:val="ru-RU" w:bidi="ar-SA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user3" w:customStyle="1">
    <w:name w:val="Содержимое врезки (user)"/>
    <w:basedOn w:val="Normal"/>
    <w:qFormat/>
    <w:pPr/>
    <w:rPr/>
  </w:style>
  <w:style w:type="paragraph" w:styleId="user4" w:customStyle="1">
    <w:name w:val="Верхний колонтитул слева (user)"/>
    <w:basedOn w:val="Header"/>
    <w:qFormat/>
    <w:pPr/>
    <w:rPr/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user7" w:customStyle="1">
    <w:name w:val="Текст в заданном формате (user)"/>
    <w:basedOn w:val="Normal"/>
    <w:qFormat/>
    <w:pPr/>
    <w:rPr>
      <w:rFonts w:ascii="Liberation Mono" w:hAnsi="Liberation Mono" w:eastAsia="Noto Sans Mono CJK SC" w:cs="Liberation Mono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76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"/>
    <w:basedOn w:val="76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90">
    <w:name w:val="Table Grid Light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91">
    <w:name w:val="Plain Table 1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92">
    <w:name w:val="Plain Table 2"/>
    <w:basedOn w:val="7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93">
    <w:name w:val="Plain Table 3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794">
    <w:name w:val="Plain Table 4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5">
    <w:name w:val="Plain Table 5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6">
    <w:name w:val="Grid Table 1 Light"/>
    <w:basedOn w:val="7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7">
    <w:name w:val="Grid Table 1 Light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8">
    <w:name w:val="Grid Table 1 Light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9">
    <w:name w:val="Grid Table 1 Light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0">
    <w:name w:val="Grid Table 1 Light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Grid Table 1 Light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Grid Table 1 Light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Grid Table 2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4">
    <w:name w:val="Grid Table 2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5">
    <w:name w:val="Grid Table 2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6">
    <w:name w:val="Grid Table 2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7">
    <w:name w:val="Grid Table 2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8">
    <w:name w:val="Grid Table 2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9">
    <w:name w:val="Grid Table 2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0">
    <w:name w:val="Grid Table 3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3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3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3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3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5">
    <w:name w:val="Grid Table 3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6">
    <w:name w:val="Grid Table 3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7">
    <w:name w:val="Grid Table 4"/>
    <w:basedOn w:val="7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18">
    <w:name w:val="Grid Table 4 - Accent 1"/>
    <w:basedOn w:val="76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19">
    <w:name w:val="Grid Table 4 - Accent 2"/>
    <w:basedOn w:val="76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20">
    <w:name w:val="Grid Table 4 - Accent 3"/>
    <w:basedOn w:val="76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21">
    <w:name w:val="Grid Table 4 - Accent 4"/>
    <w:basedOn w:val="76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22">
    <w:name w:val="Grid Table 4 - Accent 5"/>
    <w:basedOn w:val="76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23">
    <w:name w:val="Grid Table 4 - Accent 6"/>
    <w:basedOn w:val="76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24">
    <w:name w:val="Grid Table 5 Dark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25">
    <w:name w:val="Grid Table 5 Dark- Accent 1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26">
    <w:name w:val="Grid Table 5 Dark - Accent 2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27">
    <w:name w:val="Grid Table 5 Dark - Accent 3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28">
    <w:name w:val="Grid Table 5 Dark- Accent 4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29">
    <w:name w:val="Grid Table 5 Dark - Accent 5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30">
    <w:name w:val="Grid Table 5 Dark - Accent 6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customStyle="1" w:styleId="831">
    <w:name w:val="Grid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2">
    <w:name w:val="Grid Table 6 Colorful - Accent 1"/>
    <w:basedOn w:val="76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33">
    <w:name w:val="Grid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34">
    <w:name w:val="Grid Table 6 Colorful - Accent 3"/>
    <w:basedOn w:val="76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35">
    <w:name w:val="Grid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36">
    <w:name w:val="Grid Table 6 Colorful - Accent 5"/>
    <w:basedOn w:val="76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37">
    <w:name w:val="Grid Table 6 Colorful - Accent 6"/>
    <w:basedOn w:val="76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38">
    <w:name w:val="Grid Table 7 Colorful"/>
    <w:basedOn w:val="7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39">
    <w:name w:val="Grid Table 7 Colorful - Accent 1"/>
    <w:basedOn w:val="76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0">
    <w:name w:val="Grid Table 7 Colorful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1">
    <w:name w:val="Grid Table 7 Colorful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2">
    <w:name w:val="Grid Table 7 Colorful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3">
    <w:name w:val="Grid Table 7 Colorful - Accent 5"/>
    <w:basedOn w:val="76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4">
    <w:name w:val="Grid Table 7 Colorful - Accent 6"/>
    <w:basedOn w:val="76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5">
    <w:name w:val="List Table 1 Light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6">
    <w:name w:val="List Table 1 Light - Accent 1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7">
    <w:name w:val="List Table 1 Light - Accent 2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8">
    <w:name w:val="List Table 1 Light - Accent 3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49">
    <w:name w:val="List Table 1 Light - Accent 4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0">
    <w:name w:val="List Table 1 Light - Accent 5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1">
    <w:name w:val="List Table 1 Light - Accent 6"/>
    <w:basedOn w:val="76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2">
    <w:name w:val="List Table 2"/>
    <w:basedOn w:val="7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53">
    <w:name w:val="List Table 2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54">
    <w:name w:val="List Table 2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55">
    <w:name w:val="List Table 2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56">
    <w:name w:val="List Table 2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57">
    <w:name w:val="List Table 2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58">
    <w:name w:val="List Table 2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859">
    <w:name w:val="List Table 3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0">
    <w:name w:val="List Table 3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1">
    <w:name w:val="List Table 3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2">
    <w:name w:val="List Table 3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3">
    <w:name w:val="List Table 3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4">
    <w:name w:val="List Table 3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5">
    <w:name w:val="List Table 3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6">
    <w:name w:val="List Table 4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4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4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4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4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1">
    <w:name w:val="List Table 4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2">
    <w:name w:val="List Table 4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3">
    <w:name w:val="List Table 5 Dark"/>
    <w:basedOn w:val="7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4">
    <w:name w:val="List Table 5 Dark - Accent 1"/>
    <w:basedOn w:val="76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5">
    <w:name w:val="List Table 5 Dark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6">
    <w:name w:val="List Table 5 Dark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7">
    <w:name w:val="List Table 5 Dark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8">
    <w:name w:val="List Table 5 Dark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9">
    <w:name w:val="List Table 5 Dark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0">
    <w:name w:val="List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81">
    <w:name w:val="List Table 6 Colorful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82">
    <w:name w:val="List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83">
    <w:name w:val="List Table 6 Colorful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84">
    <w:name w:val="List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85">
    <w:name w:val="List Table 6 Colorful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86">
    <w:name w:val="List Table 6 Colorful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887">
    <w:name w:val="List Table 7 Colorful"/>
    <w:basedOn w:val="7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8">
    <w:name w:val="List Table 7 Colorful - Accent 1"/>
    <w:basedOn w:val="76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9">
    <w:name w:val="List Table 7 Colorful - Accent 2"/>
    <w:basedOn w:val="76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0">
    <w:name w:val="List Table 7 Colorful - Accent 3"/>
    <w:basedOn w:val="76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1">
    <w:name w:val="List Table 7 Colorful - Accent 4"/>
    <w:basedOn w:val="76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2">
    <w:name w:val="List Table 7 Colorful - Accent 5"/>
    <w:basedOn w:val="76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3">
    <w:name w:val="List Table 7 Colorful - Accent 6"/>
    <w:basedOn w:val="76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4">
    <w:name w:val="Lined - Accent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95">
    <w:name w:val="Lined - Accent 1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96">
    <w:name w:val="Lined - Accent 2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97">
    <w:name w:val="Lined - Accent 3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98">
    <w:name w:val="Lined - Accent 4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99">
    <w:name w:val="Lined - Accent 5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00">
    <w:name w:val="Lined - Accent 6"/>
    <w:basedOn w:val="761"/>
    <w:uiPriority w:val="99"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01">
    <w:name w:val="Bordered &amp; Lined - Accent"/>
    <w:basedOn w:val="76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2">
    <w:name w:val="Bordered &amp; Lined - Accent 1"/>
    <w:basedOn w:val="76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03">
    <w:name w:val="Bordered &amp; Lined - Accent 2"/>
    <w:basedOn w:val="76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04">
    <w:name w:val="Bordered &amp; Lined - Accent 3"/>
    <w:basedOn w:val="76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05">
    <w:name w:val="Bordered &amp; Lined - Accent 4"/>
    <w:basedOn w:val="76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06">
    <w:name w:val="Bordered &amp; Lined - Accent 5"/>
    <w:basedOn w:val="76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07">
    <w:name w:val="Bordered &amp; Lined - Accent 6"/>
    <w:basedOn w:val="76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08">
    <w:name w:val="Bordered"/>
    <w:basedOn w:val="7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09">
    <w:name w:val="Bordered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10">
    <w:name w:val="Bordered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11">
    <w:name w:val="Bordered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12">
    <w:name w:val="Bordered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13">
    <w:name w:val="Bordered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14">
    <w:name w:val="Bordered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33</Pages>
  <Words>4052</Words>
  <Characters>28984</Characters>
  <CharactersWithSpaces>32162</CharactersWithSpaces>
  <Paragraphs>937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2026-03-30T11:23:00Z</dcterms:created>
  <dc:creator>RePack by Diakov</dc:creator>
  <dc:description/>
  <dc:language>ru-RU</dc:language>
  <cp:lastModifiedBy/>
  <cp:lastPrinted>2026-03-31T09:18:50Z</cp:lastPrinted>
  <dcterms:modified xsi:type="dcterms:W3CDTF">2026-03-31T09:21:54Z</dcterms:modified>
  <cp:revision>5</cp:revision>
  <dc:subject/>
  <dc:title/>
</cp:coreProperties>
</file>