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/>
          <w:sz w:val="28"/>
        </w:rPr>
      </w:pPr>
      <w:bookmarkStart w:id="0" w:name="P468"/>
      <w:bookmarkEnd w:id="0"/>
      <w:r>
        <w:rPr>
          <w:rFonts w:ascii="Times New Roman" w:hAnsi="Times New Roman"/>
          <w:sz w:val="28"/>
        </w:rPr>
        <w:t>Муниципальная программа</w:t>
      </w:r>
    </w:p>
    <w:p>
      <w:pPr>
        <w:pStyle w:val="LO-Normal"/>
        <w:jc w:val="center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«Благоустройство населенных пунктов Аргаяшского муниципального округа»</w:t>
      </w:r>
    </w:p>
    <w:p>
      <w:pPr>
        <w:pStyle w:val="ConsPlusNormal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PlusNormal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PlusNormal"/>
        <w:jc w:val="center"/>
        <w:rPr>
          <w:b w:val="false"/>
        </w:rPr>
      </w:pPr>
      <w:r>
        <w:rPr>
          <w:rFonts w:ascii="Times New Roman" w:hAnsi="Times New Roman"/>
          <w:b w:val="false"/>
          <w:sz w:val="28"/>
        </w:rPr>
        <w:t>I. Оценка текущего состояния сфер</w:t>
      </w:r>
      <w:r>
        <w:rPr>
          <w:rFonts w:ascii="Times New Roman" w:hAnsi="Times New Roman"/>
          <w:b w:val="false"/>
          <w:color w:val="auto"/>
          <w:sz w:val="28"/>
        </w:rPr>
        <w:t>ы благоустройства населенных пунктов соц</w:t>
      </w:r>
      <w:r>
        <w:rPr>
          <w:rFonts w:ascii="Times New Roman" w:hAnsi="Times New Roman"/>
          <w:b w:val="false"/>
          <w:sz w:val="28"/>
        </w:rPr>
        <w:t>иально-экономического развития муниципального образования</w:t>
      </w:r>
    </w:p>
    <w:p>
      <w:pPr>
        <w:pStyle w:val="ConsPlusNormal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PlusNormal"/>
        <w:ind w:firstLine="709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По состоян</w:t>
      </w:r>
      <w:r>
        <w:rPr>
          <w:rFonts w:ascii="Times New Roman" w:hAnsi="Times New Roman"/>
          <w:b w:val="false"/>
          <w:color w:val="auto"/>
          <w:sz w:val="28"/>
        </w:rPr>
        <w:t>ию на 2026 год в состав Аргаяшского муниципального округа входит 11 территориальных отделов.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благоустройства, качества жизни населения зависит от различных показателей. Существует потребность создания инженерной инфраструктуры, отвечающей современным требованиям, в том числе в части доступности коммунально-бытовых услуг.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населению помощи в модернизации изношенных систем многоквартирных жилых домов, является одной из приоритетных задач социального развития. Программный подход позволит решать поставленные проблемы системно, что приведет к наилучшему результату. 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auto"/>
          <w:sz w:val="28"/>
        </w:rPr>
        <w:t>Гражда</w:t>
      </w:r>
      <w:r>
        <w:rPr>
          <w:rFonts w:ascii="Times New Roman" w:hAnsi="Times New Roman"/>
          <w:color w:val="000000"/>
          <w:sz w:val="28"/>
        </w:rPr>
        <w:t>нам предоставляется возможность получать различные услуги посредством финансирования работ по благоустройству населенных пунктов Аргаяшского муниципального округа.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Несмотря на достигнутые результаты в реализации мероприятий по благоустройству, уровень благоустройства, определяющий комфортность проживания граждан, по прежнему является одной из проблем, требующей внимания и эффективного решения. Которое включает в себя комплексы мероприятий по организации уличного освещения, содержанию мест захоронения, модернизации, реконструкции и капитальному ремонту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ситуации, мероприятий по созданию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маломобильным группам граждан (ветеранов боевых действий — участников специальной военной операции и членов их семей)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Приоритетность благоустройства общественных территорий определяется по итогам голосования жителей.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Однако, проблемой остается малая доля вовлеч</w:t>
      </w:r>
      <w:r>
        <w:rPr>
          <w:rFonts w:ascii="Times New Roman" w:hAnsi="Times New Roman"/>
          <w:sz w:val="28"/>
        </w:rPr>
        <w:t>ения населения Челябинской области в рейтинговое голосование по отбору проектов благоустройства территорий. Решение проблемы создания комфортных условий проживания на территории Аргаяшского муниципального округа Челябинской области возможно путем качественного повышения уровня благоустройства территорий, выбранных с учетом мнения граждан, полученного с помощью цифровых технологий, поспособствует обеспечению устойчивого социально-экономического развития Аргаяшского муниципального округа Челябинской области.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устойчивого социально-экономического развития территорий, повышения качества планировочных решений, увеличения востребованности и популярности общественных пространств в населенных пунктах Аргаяшского муниципального округа проводится информирование граждан о ходе реализации муниципальной программы.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Аргаяшского муниципального округа расположены 80 действующих кладбищ. Обеспечение более эффективного содержания мест захоронения в соответствии с действующими санитарными и экологическими требованиями, требованиями пожарной безопасности обеспечит снижение количества обращений граждан по вопросам качества оказываемых услуг и улучшит социально-нравственную обстановку в Аргаяшском муниципальном округе.</w:t>
      </w:r>
    </w:p>
    <w:p>
      <w:pPr>
        <w:pStyle w:val="ConsPlusNormal"/>
        <w:widowControl w:val="false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Ожидаемыми результатами реализации Программы являются:</w:t>
      </w:r>
    </w:p>
    <w:p>
      <w:pPr>
        <w:pStyle w:val="BodyText"/>
        <w:widowControl w:val="false"/>
        <w:spacing w:beforeAutospacing="0" w:before="0" w:afterAutospacing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повышение уровня комфортности территории округа;</w:t>
      </w:r>
    </w:p>
    <w:p>
      <w:pPr>
        <w:pStyle w:val="BodyText"/>
        <w:widowControl w:val="false"/>
        <w:spacing w:beforeAutospacing="0" w:before="0" w:afterAutospacing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создание оптимальных условий по посещению и уходом за местами захоронений;</w:t>
      </w:r>
    </w:p>
    <w:p>
      <w:pPr>
        <w:pStyle w:val="BodyText"/>
        <w:widowControl w:val="false"/>
        <w:spacing w:beforeAutospacing="0" w:before="0" w:afterAutospacing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создание инженерной инфраструктуры, отвечающей современным требованиям, повышение качества предоставления коммунальных услуг жителям округа.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b w:val="false"/>
          <w:color w:val="auto"/>
        </w:rPr>
      </w:pPr>
      <w:r>
        <w:rPr>
          <w:rFonts w:ascii="Times New Roman" w:hAnsi="Times New Roman"/>
          <w:b w:val="false"/>
          <w:color w:val="auto"/>
          <w:sz w:val="28"/>
        </w:rPr>
        <w:t xml:space="preserve">II. Описание приоритетов и целей муниципальной политики </w:t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rFonts w:ascii="Times New Roman" w:hAnsi="Times New Roman"/>
          <w:b w:val="false"/>
          <w:color w:val="auto"/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>в сфере благоустройства населенных пунктов Аргаяшского муниципального округа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Приоритеты государственной политики в сфере реализации программы определены: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Национальным проектом «Инфраструктура для жизни» (далее также — Национальный проект) разработан в соответствии с Указом Президента Российской Федерации на период до 2030 года и на перспективу до 2036 года»;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предусматривающим в том числе достижение национальной цели» Комфортная и безопасная среда для жизни»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Также в рамках Программы реализуются мероприятия, направленные на достижение национальной </w:t>
      </w:r>
      <w:hyperlink r:id="rId2">
        <w:r>
          <w:rPr>
            <w:rStyle w:val="Hyperlink"/>
            <w:rFonts w:ascii="Times New Roman" w:hAnsi="Times New Roman"/>
            <w:color w:val="000000"/>
            <w:sz w:val="28"/>
            <w:u w:val="none"/>
          </w:rPr>
          <w:t>цели</w:t>
        </w:r>
      </w:hyperlink>
      <w:r>
        <w:rPr>
          <w:rFonts w:ascii="Times New Roman" w:hAnsi="Times New Roman"/>
          <w:color w:val="000000"/>
          <w:sz w:val="28"/>
          <w:u w:val="none"/>
        </w:rPr>
        <w:t xml:space="preserve"> "</w:t>
      </w:r>
      <w:r>
        <w:rPr>
          <w:rFonts w:ascii="Times New Roman" w:hAnsi="Times New Roman"/>
          <w:color w:val="000000"/>
          <w:sz w:val="28"/>
        </w:rPr>
        <w:t>Сохранение населения, укрепление здоровья и повышение благополучия людей, поддержка семьи". Меры по доступности среды объектов внешней инфраструктуры, сведению к минимуму физического барьера в рамках Программы сконцентрированы на развитии безбарьерной среды;</w:t>
      </w:r>
    </w:p>
    <w:p>
      <w:pPr>
        <w:pStyle w:val="ListParagraph"/>
        <w:tabs>
          <w:tab w:val="clear" w:pos="720"/>
          <w:tab w:val="left" w:pos="0" w:leader="none"/>
        </w:tabs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Государственной </w:t>
      </w:r>
      <w:hyperlink r:id="rId3">
        <w:r>
          <w:rPr>
            <w:rStyle w:val="Hyperlink"/>
            <w:rFonts w:ascii="Times New Roman" w:hAnsi="Times New Roman"/>
            <w:color w:val="000000"/>
            <w:u w:val="none"/>
          </w:rPr>
          <w:t>программой</w:t>
        </w:r>
      </w:hyperlink>
      <w:r>
        <w:rPr>
          <w:rFonts w:ascii="Times New Roman" w:hAnsi="Times New Roman"/>
          <w:color w:val="000000"/>
        </w:rPr>
        <w:t xml:space="preserve"> Российской Федерации от 29.03.2019 № 363 "Доступная среда", утвержденной постановлением Правительства Российской Федерации, в рамках которой реализуются мероприятия по созданию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  <w:sz w:val="28"/>
        </w:rPr>
        <w:t>маломобильным группам граждан (ветеранов боевых действий — участников специальной военной операции и членов их семей)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условий для беспрепятственного доступа к общему имуществу </w:t>
      </w:r>
      <w:r>
        <w:rPr>
          <w:rFonts w:ascii="Times New Roman" w:hAnsi="Times New Roman"/>
          <w:color w:val="000000"/>
          <w:sz w:val="28"/>
        </w:rPr>
        <w:t>собственников помещений в многоквартирных домах, в том числе дворовых территорий, с учетом доступности;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Государственной программой Челябинской области «Благоустройство населенных пунктов Челябинской области», утвержденной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области»;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Стратегией социально-экономического развития Аргаяшского муниципального района Челябинской области до 2035 года.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В целях достижения национальной и стратегических целей была разработана настоящая Муниципальная программа.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Цель муниципальной программы: 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- повышение уровня благоустройства населенных пунктов Аргаяшского муниципального округа.</w:t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firstLine="709" w:left="0" w:right="0"/>
        <w:jc w:val="both"/>
        <w:rPr>
          <w:color w:val="3465A4"/>
          <w:sz w:val="28"/>
        </w:rPr>
      </w:pPr>
      <w:r>
        <w:rPr>
          <w:color w:val="3465A4"/>
          <w:sz w:val="28"/>
        </w:rPr>
      </w:r>
    </w:p>
    <w:p>
      <w:pPr>
        <w:pStyle w:val="Normal"/>
        <w:tabs>
          <w:tab w:val="clear" w:pos="720"/>
          <w:tab w:val="left" w:pos="0" w:leader="none"/>
        </w:tabs>
        <w:ind w:firstLine="709" w:left="0" w:right="0"/>
        <w:jc w:val="both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>III. Сведения о взаимоувязке со стратегическими приоритетами, целями и показателями государственных программ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Достижение цели настоящей программы осуществляется посредством реализации мероприятий в рамках структурных элементов: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Национального проекта «Инфраструктура для жизни» (далее также — Национальный проект), разработанного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Национальной цели «Комфортная и безопасная среда для жизни», утвержденной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Государственной </w:t>
      </w:r>
      <w:hyperlink r:id="rId4">
        <w:r>
          <w:rPr>
            <w:rStyle w:val="Hyperlink"/>
            <w:rFonts w:ascii="Times New Roman" w:hAnsi="Times New Roman"/>
            <w:color w:val="000000"/>
            <w:sz w:val="28"/>
            <w:u w:val="none"/>
          </w:rPr>
          <w:t>программы</w:t>
        </w:r>
      </w:hyperlink>
      <w:r>
        <w:rPr>
          <w:rFonts w:ascii="Times New Roman" w:hAnsi="Times New Roman"/>
          <w:color w:val="000000"/>
          <w:sz w:val="28"/>
        </w:rPr>
        <w:t xml:space="preserve"> Российской Федерации от 29.03.2019 № 363 "Доступная среда", утвержденной постановлением Правительства Российской Федерации;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-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предусматривающим в том числе достижение национальной цели» Комфортная и безопасная среда для жизни»;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- Государственной программы Челябинской области «Благоустройство населенных пунктов Челябинской области», утвержденной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области».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09" w:left="0" w:right="0"/>
        <w:jc w:val="both"/>
        <w:rPr>
          <w:color w:val="00A933"/>
          <w:sz w:val="28"/>
        </w:rPr>
      </w:pPr>
      <w:r>
        <w:rPr>
          <w:color w:val="00A933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rFonts w:ascii="Times New Roman" w:hAnsi="Times New Roman"/>
          <w:b w:val="false"/>
          <w:color w:val="auto"/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 xml:space="preserve">IV. Задачи муниципального управления, способы их эффективного решения </w:t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>в соответствующей отрасли экономики и сфере муниципального управления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firstLine="680" w:left="0" w:right="0"/>
        <w:jc w:val="both"/>
        <w:rPr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Для достижения поставленной цели определены основные задачи:</w:t>
      </w:r>
    </w:p>
    <w:p>
      <w:pPr>
        <w:pStyle w:val="ConsPlusNormal"/>
        <w:ind w:firstLine="680" w:left="0" w:right="0"/>
        <w:jc w:val="both"/>
        <w:rPr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 и мероприятия, направленные на бесперебойную поставку ресурса);</w:t>
      </w:r>
    </w:p>
    <w:p>
      <w:pPr>
        <w:pStyle w:val="ConsPlusNormal"/>
        <w:ind w:firstLine="680" w:left="0" w:right="0"/>
        <w:jc w:val="both"/>
        <w:rPr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соблюдение соответствия качества содержания мест захоронения требованиям санитарных норм и правил;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auto"/>
          <w:sz w:val="28"/>
        </w:rPr>
        <w:t>- повышение надежности и эффективности функционирования жилищно-коммунальных систем жиз</w:t>
      </w:r>
      <w:r>
        <w:rPr>
          <w:rFonts w:ascii="Times New Roman" w:hAnsi="Times New Roman"/>
          <w:color w:val="000000"/>
          <w:sz w:val="28"/>
        </w:rPr>
        <w:t>необеспечения населения муниципального округа;</w:t>
      </w:r>
    </w:p>
    <w:p>
      <w:pPr>
        <w:pStyle w:val="ConsPlusNormal"/>
        <w:ind w:firstLine="680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доступности.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Реализация данных задач, как и цель программы, осуществляется с помощью следую</w:t>
      </w:r>
      <w:r>
        <w:rPr>
          <w:rFonts w:ascii="Times New Roman" w:hAnsi="Times New Roman"/>
          <w:color w:val="auto"/>
          <w:sz w:val="28"/>
        </w:rPr>
        <w:t>щих механизмов: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создание условий для системного повышения качества и комфорта городской среды на территории Аргаяшского муниципального округа;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принятие новых современных правил благоустройства или актуализация действующих правил благоустройства, соответствующих региональным методическим рекомендациям, в том числе предусматривающих формирование муниципальных программ по благоустройству с учетом мнения граждан, представителей общественных организаций,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финансовое участие граждан и организаций в реализации указанных мероприятий, инструменты общественного контроля за соблюдением правил благоустройства и реализацией мероприятий; 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комплекс мероприятий в сфере обеспечения и улучшения состояния территорий муниципального образования;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предоставление иных межбюджетных трансфертов из бюджета округа на осуществление полномочий по содержанию мест захоронения.</w:t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Текущее управление Программой и опера</w:t>
      </w:r>
      <w:r>
        <w:rPr>
          <w:rFonts w:ascii="Times New Roman" w:hAnsi="Times New Roman"/>
          <w:sz w:val="28"/>
        </w:rPr>
        <w:t>тивный контроль за ее реализацией обеспечиваются ответственным исполнителем Программы - Управление ЖКХ администрации Аргаяшского муниципального округа (далее – Управление ЖКХ), который выполняет следующие функции для достижения целей и задач, установленных Программой:</w:t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- обеспечивает разработку (внесение изменений) Программы;</w:t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- несет ответственность за реализацию Программы, достижение ожидаемых результатов исполнения Программы, целевых индикаторов и показателей, а также за эффективное и целевое использование выделяемых на выполнение Программы финансовых средств;</w:t>
      </w:r>
    </w:p>
    <w:p>
      <w:pPr>
        <w:pStyle w:val="ConsPlusNormal"/>
        <w:ind w:firstLine="680" w:left="0" w:right="0"/>
        <w:jc w:val="both"/>
        <w:rPr/>
      </w:pPr>
      <w:r>
        <w:rPr>
          <w:rFonts w:ascii="Times New Roman" w:hAnsi="Times New Roman"/>
          <w:sz w:val="28"/>
        </w:rPr>
        <w:t>- уточняет в соответствии с выделенным финансированием целевые индикаторы и показатели, программные мероприятия и затраты по ним.</w:t>
      </w:r>
    </w:p>
    <w:p>
      <w:pPr>
        <w:pStyle w:val="ConsPlusNormal"/>
        <w:widowControl w:val="false"/>
        <w:ind w:firstLine="680" w:left="0" w:right="0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ConsPlusNormal"/>
        <w:ind w:firstLine="680" w:left="0" w:right="0"/>
        <w:jc w:val="both"/>
        <w:rPr/>
      </w:pPr>
      <w:r>
        <w:rPr/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LO-Normal"/>
        <w:spacing w:beforeAutospacing="0" w:before="0" w:afterAutospacing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bookmarkStart w:id="1" w:name="page3"/>
      <w:bookmarkStart w:id="2" w:name="page3"/>
      <w:bookmarkEnd w:id="2"/>
      <w:r>
        <w:br w:type="page"/>
      </w:r>
    </w:p>
    <w:p>
      <w:pPr>
        <w:pStyle w:val="LO-Normal"/>
        <w:spacing w:beforeAutospacing="0" w:before="0" w:afterAutospacing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ПАСПОРТ</w:t>
      </w:r>
    </w:p>
    <w:p>
      <w:pPr>
        <w:pStyle w:val="LO-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Муниципальной программы </w:t>
      </w:r>
    </w:p>
    <w:p>
      <w:pPr>
        <w:pStyle w:val="LO-Normal"/>
        <w:jc w:val="center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«Благоустройство населенных пунктов Аргаяшского муниципального округа</w:t>
      </w:r>
      <w:r>
        <w:rPr>
          <w:rFonts w:ascii="Times New Roman" w:hAnsi="Times New Roman"/>
          <w:color w:val="000000"/>
          <w:u w:val="none"/>
        </w:rPr>
        <w:t>»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tbl>
      <w:tblPr>
        <w:tblW w:w="5000" w:type="pct"/>
        <w:jc w:val="left"/>
        <w:tblInd w:w="11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119"/>
        <w:gridCol w:w="3644"/>
        <w:gridCol w:w="1349"/>
        <w:gridCol w:w="1412"/>
        <w:gridCol w:w="2324"/>
        <w:gridCol w:w="1426"/>
        <w:gridCol w:w="1295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ind w:hanging="0" w:left="0" w:right="57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Куратор муниципальной программы</w:t>
            </w:r>
          </w:p>
        </w:tc>
        <w:tc>
          <w:tcPr>
            <w:tcW w:w="11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ind w:hanging="0" w:left="113" w:right="0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главы муниципального округа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ind w:hanging="0" w:left="0" w:right="5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ind w:hanging="0" w:left="113" w:right="113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ЖКХ администрации Аргаяшского муниципального округа</w:t>
            </w:r>
          </w:p>
        </w:tc>
      </w:tr>
      <w:tr>
        <w:trPr/>
        <w:tc>
          <w:tcPr>
            <w:tcW w:w="31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ind w:hanging="0" w:left="0" w:right="5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Соисполнители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113" w:right="113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Комитет по управлению имуществом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113" w:right="113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Управление архитектуры и строительства администрации Аргаяшского муниципального округа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ind w:hanging="0" w:left="113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Управление по работе с территориями администрации Аргаяшского муниципального округа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 реализации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11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2026-2028 гг.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Цели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9" w:leader="none"/>
              </w:tabs>
              <w:spacing w:beforeAutospacing="0" w:before="0" w:afterAutospacing="0" w:after="0"/>
              <w:ind w:firstLine="709" w:left="57" w:right="11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 1: Повышение уровня благоустройства населенных пунктов Аргаяшского муниципального округа.</w:t>
            </w:r>
          </w:p>
        </w:tc>
      </w:tr>
      <w:tr>
        <w:trPr/>
        <w:tc>
          <w:tcPr>
            <w:tcW w:w="31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9" w:leader="none"/>
              </w:tabs>
              <w:spacing w:beforeAutospacing="0" w:before="0" w:afterAutospacing="0" w:after="0"/>
              <w:ind w:firstLine="709" w:left="57" w:right="11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1: Уличное освещение (Закупка товаров, работ и услуг для обеспечения государственных (муниципальных) нужд)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709" w:left="57" w:right="113"/>
              <w:jc w:val="both"/>
              <w:rPr/>
            </w:pPr>
            <w:r>
              <w:rPr/>
              <w:t xml:space="preserve">Направление 2: Содержание мест захоронения </w:t>
            </w:r>
            <w:r>
              <w:rPr>
                <w:rFonts w:ascii="Times New Roman" w:hAnsi="Times New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</w:rPr>
            </w:pPr>
            <w:r>
              <w:rPr/>
              <w:t>Направление 3: Прочее благоустройство</w:t>
            </w:r>
            <w:r>
              <w:rPr>
                <w:rFonts w:ascii="Times New Roman" w:hAnsi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</w:tr>
      <w:tr>
        <w:trPr/>
        <w:tc>
          <w:tcPr>
            <w:tcW w:w="31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color w:val="auto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Объёмы финансового обеспечения за весь период реализации по источникам финансирования</w:t>
            </w:r>
          </w:p>
          <w:p>
            <w:pPr>
              <w:pStyle w:val="LO-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(тыс. руб.)</w:t>
            </w:r>
          </w:p>
        </w:tc>
        <w:tc>
          <w:tcPr>
            <w:tcW w:w="3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ind w:hanging="0" w:left="57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beforeAutospacing="0" w:before="0" w:afterAutospacing="0" w:after="0"/>
              <w:ind w:hanging="0" w:left="-57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финансирования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ind w:hanging="0" w:left="-57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Годы реализации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ind w:hanging="0" w:left="57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Всего,</w:t>
            </w:r>
          </w:p>
          <w:p>
            <w:pPr>
              <w:pStyle w:val="LO-Normal"/>
              <w:ind w:hanging="0" w:left="57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федерального и областного бюджета,</w:t>
            </w:r>
          </w:p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районного бюджета,</w:t>
            </w:r>
          </w:p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Внебюд-жетные источники,</w:t>
            </w:r>
          </w:p>
          <w:p>
            <w:pPr>
              <w:pStyle w:val="LO-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color w:val="00000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20 003,00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20 003,00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61 609,40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61 609,40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</w:rPr>
              <w:t>2. С</w:t>
            </w:r>
            <w:r>
              <w:rPr>
                <w:rFonts w:ascii="Times New Roman" w:hAnsi="Times New Roman"/>
                <w:color w:val="000000"/>
              </w:rPr>
              <w:t>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</w:rPr>
              <w:t>3. Прочее благоустройство</w:t>
            </w:r>
            <w:r>
              <w:rPr>
                <w:rFonts w:ascii="Times New Roman" w:hAnsi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 национальными целями развития Российской Федерации/</w:t>
            </w:r>
          </w:p>
          <w:p>
            <w:pPr>
              <w:pStyle w:val="LO-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государственной программой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Национальный проект «Инфраструктура для жизни» (далее также — Национальный проект) разработан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реализовать поставленные целевые показатели и задачи, выполнение которых характеризует достижение национальной цели «Комфортная и безопасная среда для жизни».</w:t>
            </w:r>
          </w:p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</w:t>
            </w: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z w:val="24"/>
                  <w:u w:val="none"/>
                </w:rPr>
                <w:t>программа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 от 29.03.2019 № 363 "Доступная среда", утвержденная постановлением Правительства Российской Федерации.</w:t>
            </w:r>
          </w:p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Челябинской области «Благоустройство населенных пунктов Челябинской области», утвержденная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области».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417" w:footer="0" w:bottom="8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hanging="0" w:left="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муниципальной программы</w:t>
      </w:r>
    </w:p>
    <w:p>
      <w:pPr>
        <w:pStyle w:val="Normal"/>
        <w:ind w:hanging="0" w:left="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4568" w:type="dxa"/>
        <w:jc w:val="left"/>
        <w:tblInd w:w="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48"/>
        <w:gridCol w:w="5565"/>
        <w:gridCol w:w="1247"/>
        <w:gridCol w:w="2446"/>
        <w:gridCol w:w="673"/>
        <w:gridCol w:w="737"/>
        <w:gridCol w:w="689"/>
        <w:gridCol w:w="16"/>
        <w:gridCol w:w="2745"/>
      </w:tblGrid>
      <w:tr>
        <w:trPr>
          <w:cantSplit w:val="true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№ </w:t>
            </w:r>
            <w:r>
              <w:rPr>
                <w:color w:val="auto"/>
                <w:sz w:val="24"/>
              </w:rPr>
              <w:t>п/п</w:t>
            </w:r>
          </w:p>
        </w:tc>
        <w:tc>
          <w:tcPr>
            <w:tcW w:w="5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Единица измерения</w:t>
            </w:r>
          </w:p>
        </w:tc>
        <w:tc>
          <w:tcPr>
            <w:tcW w:w="2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Значение показателя по годам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Ответственный</w:t>
            </w:r>
          </w:p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 достижение показателя</w:t>
            </w:r>
          </w:p>
        </w:tc>
      </w:tr>
      <w:tr>
        <w:trPr>
          <w:cantSplit w:val="true"/>
        </w:trPr>
        <w:tc>
          <w:tcPr>
            <w:tcW w:w="4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2026 год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2027 год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2028 год</w:t>
            </w:r>
          </w:p>
        </w:tc>
        <w:tc>
          <w:tcPr>
            <w:tcW w:w="27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27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rPr>
          <w:cantSplit w:val="true"/>
        </w:trPr>
        <w:tc>
          <w:tcPr>
            <w:tcW w:w="1456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>1. Цель муниципальной программы "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уровня благоустройства населенных пунктов Аргаяшского муниципального округа</w:t>
            </w:r>
            <w:r>
              <w:rPr>
                <w:color w:val="auto"/>
                <w:sz w:val="24"/>
              </w:rPr>
              <w:t>"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1.1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7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ЖКХ администрации Аргаяшского муниципального округа;</w:t>
            </w:r>
          </w:p>
          <w:p>
            <w:pPr>
              <w:pStyle w:val="LO-Normal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1.2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7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ЖКХ администрации Аргаяшского муниципального округа;</w:t>
            </w:r>
          </w:p>
          <w:p>
            <w:pPr>
              <w:pStyle w:val="LO-Normal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1.3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76" w:beforeAutospacing="0" w:before="0" w:afterAutospacing="0"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27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ЖКХ администрации Аргаяшского муниципального округа;</w:t>
            </w:r>
          </w:p>
          <w:p>
            <w:pPr>
              <w:pStyle w:val="LO-Normal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1.4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76" w:beforeAutospacing="0" w:before="0" w:afterAutospacing="0"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27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ЖКХ администрации Аргаяшского муниципального округа;</w:t>
            </w:r>
          </w:p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</w:t>
            </w:r>
          </w:p>
        </w:tc>
      </w:tr>
    </w:tbl>
    <w:p>
      <w:pPr>
        <w:pStyle w:val="Normal"/>
        <w:ind w:hanging="0" w:left="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План достижения показателей муниципальной программы *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50"/>
        <w:gridCol w:w="5051"/>
        <w:gridCol w:w="1246"/>
        <w:gridCol w:w="631"/>
        <w:gridCol w:w="613"/>
        <w:gridCol w:w="631"/>
        <w:gridCol w:w="571"/>
        <w:gridCol w:w="612"/>
        <w:gridCol w:w="631"/>
        <w:gridCol w:w="618"/>
        <w:gridCol w:w="568"/>
        <w:gridCol w:w="551"/>
        <w:gridCol w:w="571"/>
        <w:gridCol w:w="602"/>
        <w:gridCol w:w="1224"/>
      </w:tblGrid>
      <w:tr>
        <w:trPr>
          <w:cantSplit w:val="true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муниципальной 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6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месяцам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2026</w:t>
            </w:r>
            <w:r>
              <w:rPr>
                <w:rFonts w:ascii="Times New Roman" w:hAnsi="Times New Roman"/>
                <w:sz w:val="24"/>
              </w:rPr>
              <w:t xml:space="preserve"> года &lt;1&gt;</w:t>
            </w:r>
          </w:p>
        </w:tc>
      </w:tr>
      <w:tr>
        <w:trPr>
          <w:trHeight w:val="383" w:hRule="atLeast"/>
          <w:cantSplit w:val="true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false"/>
              <w:keepLines w:val="false"/>
              <w:widowControl w:val="false"/>
              <w:suppressLineNumbers w:val="0"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3" w:name="P804"/>
      <w:bookmarkStart w:id="4" w:name="P804"/>
      <w:bookmarkEnd w:id="4"/>
    </w:p>
    <w:p>
      <w:pPr>
        <w:pStyle w:val="ConsPlusNormal"/>
        <w:jc w:val="both"/>
        <w:rPr/>
      </w:pPr>
      <w:r>
        <w:rPr>
          <w:rFonts w:ascii="Times New Roman" w:hAnsi="Times New Roman"/>
          <w:sz w:val="28"/>
        </w:rPr>
        <w:t>*Заполняется при наличии соответствующих показателей в паспорте Программы с учетом выбранной периодичности наблюдения. В случае если отсутствуют такие показатели в Паспорте программы, то вместо Таблицы прописывается текстом об отсутствии соответствующих показателей.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Структура муниципальной программы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5958"/>
        <w:gridCol w:w="1"/>
        <w:gridCol w:w="2819"/>
        <w:gridCol w:w="5165"/>
      </w:tblGrid>
      <w:tr>
        <w:trPr>
          <w:tblHeader w:val="true"/>
          <w:cantSplit w:val="true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структурного элемента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 Муниципальная программа «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Благоустройство населенных пунктов Аргаяшского муниципального округа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 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</w:rPr>
              <w:t>Уличное освещение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65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Ответственный за реализацию (наименование):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7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Срок реализации (2026-2028 гг.)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Организация освещения улиц, обслуживание и улучшение технического состояния электрических сетей уличного освещения:</w:t>
            </w:r>
          </w:p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 модернизация и замена устаревшего оборудования сетей уличного оборудования;</w:t>
            </w:r>
          </w:p>
          <w:p>
            <w:pPr>
              <w:pStyle w:val="ConsPlusNormal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 мероприятия, направленные на бесперебойную поставку ресурса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комфортности территории округа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оборудования.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1.2. Комплекс процессных мероприятий: «Содержание мест захоронения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65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Ответственный за реализацию (наименование):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7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Срок реализации (2026-2028 гг.)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1.2.1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color w:val="auto"/>
              </w:rPr>
            </w:pPr>
            <w:r>
              <w:rPr>
                <w:color w:val="auto"/>
              </w:rPr>
              <w:t>Соблюдение соответствия качества содержания мест захоронения требованиям санитарных норм и правил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/>
              <w:t>Создание оптимальных условий по посещению и уходом за местами захоронений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/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1.3. Комплекс процессных мероприятий: «Прочее благоустройство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65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Ответственный за реализацию (наименование):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7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Срок реализации (2026-2028 гг.)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1.3.1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Повышение наде</w:t>
            </w:r>
            <w:r>
              <w:rPr>
                <w:rFonts w:ascii="Times New Roman" w:hAnsi="Times New Roman"/>
                <w:color w:val="000000"/>
                <w:sz w:val="24"/>
              </w:rPr>
              <w:t>жности и эффективности функционирования жилищно-коммунальных систем жизнеобеспечения насел</w:t>
            </w:r>
            <w:r>
              <w:rPr>
                <w:rFonts w:ascii="Times New Roman" w:hAnsi="Times New Roman"/>
                <w:color w:val="auto"/>
                <w:sz w:val="24"/>
              </w:rPr>
              <w:t>ения муниципального округа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Создание инженерной инфраструктуры, отвечающей современным требованиям, повышение качества предоставления коммунальных услуг жителям округа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sz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1.3.2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безбарьерной среды для маломобильных групп граждан (ветеранов боевых действий — участников специальной военной операции и членов их семей)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комфортности территории округа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</w:tr>
    </w:tbl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5" w:name="P877"/>
      <w:bookmarkStart w:id="6" w:name="P877"/>
      <w:bookmarkEnd w:id="6"/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Финансовое обеспечение муниципальной программы</w:t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5188"/>
        <w:gridCol w:w="1948"/>
        <w:gridCol w:w="2159"/>
        <w:gridCol w:w="2317"/>
        <w:gridCol w:w="2958"/>
      </w:tblGrid>
      <w:tr>
        <w:trPr>
          <w:cantSplit w:val="true"/>
        </w:trPr>
        <w:tc>
          <w:tcPr>
            <w:tcW w:w="5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cantSplit w:val="true"/>
        </w:trPr>
        <w:tc>
          <w:tcPr>
            <w:tcW w:w="51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keepNext w:val="tru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на реализацию проекта, в т.ч.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25 703,0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78 709,4</w:t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keepNext w:val="tru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keepNext w:val="tru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25 703,0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78 709,4</w:t>
            </w:r>
          </w:p>
        </w:tc>
      </w:tr>
    </w:tbl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</w:t>
      </w:r>
    </w:p>
    <w:p>
      <w:pPr>
        <w:pStyle w:val="ConsPlusNormal"/>
        <w:ind w:firstLine="540" w:left="0" w:right="0"/>
        <w:jc w:val="both"/>
        <w:rPr>
          <w:rFonts w:ascii="Times New Roman" w:hAnsi="Times New Roman"/>
          <w:sz w:val="28"/>
        </w:rPr>
      </w:pPr>
      <w:bookmarkStart w:id="7" w:name="P1379"/>
      <w:bookmarkStart w:id="8" w:name="P1380"/>
      <w:bookmarkStart w:id="9" w:name="P1378"/>
      <w:bookmarkEnd w:id="7"/>
      <w:bookmarkEnd w:id="8"/>
      <w:bookmarkEnd w:id="9"/>
      <w:r>
        <w:rPr>
          <w:rFonts w:ascii="Times New Roman" w:hAnsi="Times New Roman"/>
          <w:sz w:val="28"/>
        </w:rPr>
        <w:t>&lt;1&gt; Здесь и далее указывается итоговый (годовой) показатель.</w:t>
      </w:r>
    </w:p>
    <w:p>
      <w:pPr>
        <w:pStyle w:val="ConsPlusNormal"/>
        <w:ind w:firstLine="540" w:left="0" w:right="0"/>
        <w:jc w:val="both"/>
        <w:rPr>
          <w:rFonts w:ascii="Times New Roman" w:hAnsi="Times New Roman"/>
          <w:sz w:val="28"/>
        </w:rPr>
      </w:pPr>
      <w:bookmarkStart w:id="10" w:name="P1381"/>
      <w:bookmarkEnd w:id="10"/>
      <w:r>
        <w:rPr>
          <w:rFonts w:ascii="Times New Roman" w:hAnsi="Times New Roman"/>
          <w:sz w:val="28"/>
        </w:rPr>
        <w:t>&lt;2&gt; Региональный или муниципальный проекты.</w:t>
      </w:r>
    </w:p>
    <w:p>
      <w:pPr>
        <w:pStyle w:val="ConsPlus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ConsPlusNormal"/>
        <w:spacing w:beforeAutospacing="0" w:before="0" w:afterAutospacing="0" w:after="0"/>
        <w:jc w:val="center"/>
        <w:rPr>
          <w:sz w:val="28"/>
        </w:rPr>
      </w:pPr>
      <w:bookmarkStart w:id="11" w:name="P2307"/>
      <w:bookmarkEnd w:id="11"/>
      <w:r>
        <w:rPr>
          <w:rFonts w:ascii="Times New Roman" w:hAnsi="Times New Roman"/>
          <w:sz w:val="28"/>
        </w:rPr>
        <w:t>ПАСПОРТ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u w:val="single"/>
        </w:rPr>
        <w:t>Уличное освещение (Закупка товаров, работ и услуг для обеспечения государственных (муниципальных) нужд)</w:t>
      </w:r>
      <w:r>
        <w:rPr>
          <w:rFonts w:ascii="Times New Roman" w:hAnsi="Times New Roman"/>
          <w:color w:val="000000"/>
          <w:sz w:val="28"/>
        </w:rPr>
        <w:t>»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76"/>
        <w:gridCol w:w="7593"/>
      </w:tblGrid>
      <w:tr>
        <w:trPr/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ЖКХ администрации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7428"/>
        <w:gridCol w:w="1244"/>
        <w:gridCol w:w="3003"/>
        <w:gridCol w:w="794"/>
        <w:gridCol w:w="692"/>
        <w:gridCol w:w="782"/>
      </w:tblGrid>
      <w:tr>
        <w:trPr>
          <w:cantSplit w:val="true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7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cantSplit w:val="true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задачи: «Организация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оборудования; мероприятия, направленные на бесперебойную поставку ресурса)»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6062"/>
        <w:gridCol w:w="1259"/>
        <w:gridCol w:w="2328"/>
        <w:gridCol w:w="2442"/>
        <w:gridCol w:w="619"/>
        <w:gridCol w:w="688"/>
        <w:gridCol w:w="602"/>
      </w:tblGrid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(по ОКЕИ)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/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/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задачи комплекса процессных мероприятий: «</w:t>
            </w:r>
            <w:r>
              <w:rPr>
                <w:rFonts w:ascii="Times New Roman" w:hAnsi="Times New Roman"/>
                <w:color w:val="auto"/>
                <w:sz w:val="24"/>
              </w:rPr>
              <w:t>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оборудования; мероприятия, направленные на бесперебойную поставку ресурса)»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Модернизация и замена устаревшего оборудования сетей уличного оборудования; мероприятия, направленные на бесперебойную поставку ресурса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комфортности территории округа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47"/>
        <w:gridCol w:w="1832"/>
        <w:gridCol w:w="1814"/>
        <w:gridCol w:w="1754"/>
        <w:gridCol w:w="1823"/>
      </w:tblGrid>
      <w:tr>
        <w:trPr>
          <w:cantSplit w:val="true"/>
        </w:trPr>
        <w:tc>
          <w:tcPr>
            <w:tcW w:w="7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72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52" w:hRule="atLeast"/>
          <w:cantSplit w:val="true"/>
        </w:trPr>
        <w:tc>
          <w:tcPr>
            <w:tcW w:w="734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20 003,00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61 609,40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Местный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20 003,00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61 609,40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5. План по реализации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8"/>
        <w:gridCol w:w="8445"/>
        <w:gridCol w:w="1588"/>
        <w:gridCol w:w="1980"/>
        <w:gridCol w:w="2049"/>
      </w:tblGrid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мероприятия/ типа мероприятий</w:t>
            </w:r>
            <w:r>
              <w:rPr>
                <w:color w:val="106BBE"/>
                <w:sz w:val="24"/>
              </w:rPr>
              <w:t>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точки&lt;1*&gt;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**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/>
        <w:tc>
          <w:tcPr>
            <w:tcW w:w="14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задачи комплекса процессных мероприятий 1: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оборудования; мероприятия, направленные на бесперебойную поставку ресурса)»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 1: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Модернизация и замена устаревшего оборудования сетей уличного оборудования; мероприятия, направленные на бесперебойную поставку ресурса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Контрольная точка 1.1: </w:t>
            </w:r>
            <w:r>
              <w:rPr>
                <w:rFonts w:ascii="Times New Roman" w:hAnsi="Times New Roman"/>
                <w:color w:val="auto"/>
                <w:sz w:val="24"/>
              </w:rPr>
              <w:t>Проведен конкурс по выбору исполнителя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Муниципальный контракт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Акт выполненных работ</w:t>
            </w:r>
          </w:p>
        </w:tc>
      </w:tr>
    </w:tbl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----------------------------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 Типы мероприятий: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1. Обеспечение оказания муниципальных услуг (выполнение работ)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2. Повышение квалификации кадров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3. Осуществление выплат физическим лицам (пособий, компенсаций и иных социальных выплат различных категорий граждан)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4. Осуществление закупок товаров, работ и услуг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5. Жилищное обеспечение граждан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6. Иные типы</w:t>
      </w:r>
    </w:p>
    <w:p>
      <w:pPr>
        <w:pStyle w:val="Normal"/>
        <w:widowControl w:val="false"/>
        <w:ind w:firstLine="720" w:left="0" w:right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** Указывается вид документа, подтверждающего факт достижения контрольной точки</w:t>
      </w:r>
    </w:p>
    <w:p>
      <w:pPr>
        <w:pStyle w:val="Normal"/>
        <w:widowControl w:val="false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jc w:val="left"/>
        <w:rPr>
          <w:sz w:val="27"/>
          <w:szCs w:val="27"/>
        </w:rPr>
      </w:pPr>
      <w:r>
        <w:rPr>
          <w:sz w:val="27"/>
          <w:szCs w:val="27"/>
        </w:rPr>
        <w:t>&lt;1*&gt; Допускается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  <w:r>
        <w:br w:type="page"/>
      </w:r>
    </w:p>
    <w:p>
      <w:pPr>
        <w:pStyle w:val="Normal"/>
        <w:widowControl w:val="false"/>
        <w:spacing w:before="0" w:after="0"/>
        <w:jc w:val="center"/>
        <w:rPr>
          <w:sz w:val="28"/>
        </w:rPr>
      </w:pPr>
      <w:bookmarkStart w:id="12" w:name="P2307_Копия_1"/>
      <w:bookmarkEnd w:id="12"/>
      <w:r>
        <w:rPr>
          <w:rFonts w:ascii="Times New Roman" w:hAnsi="Times New Roman"/>
          <w:sz w:val="28"/>
        </w:rPr>
        <w:t>ПАСПОРТ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u w:val="single"/>
        </w:rPr>
        <w:t>Содержание мест захоронения (Закупка товаров, работ и услуг для обеспечения государственных (муниципальных) нужд)</w:t>
      </w:r>
      <w:r>
        <w:rPr>
          <w:rFonts w:ascii="Times New Roman" w:hAnsi="Times New Roman"/>
          <w:color w:val="000000"/>
          <w:sz w:val="28"/>
        </w:rPr>
        <w:t>»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76"/>
        <w:gridCol w:w="7593"/>
      </w:tblGrid>
      <w:tr>
        <w:trPr/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ЖКХ администрации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7428"/>
        <w:gridCol w:w="1244"/>
        <w:gridCol w:w="3003"/>
        <w:gridCol w:w="794"/>
        <w:gridCol w:w="692"/>
        <w:gridCol w:w="782"/>
      </w:tblGrid>
      <w:tr>
        <w:trPr>
          <w:cantSplit w:val="true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7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cantSplit w:val="true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задачи: «Соблюдение соответствия качества содержания мест захоронения требованиям санитарных норм и правил»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5"/>
        <w:gridCol w:w="4999"/>
        <w:gridCol w:w="1246"/>
        <w:gridCol w:w="3467"/>
        <w:gridCol w:w="2442"/>
        <w:gridCol w:w="619"/>
        <w:gridCol w:w="688"/>
        <w:gridCol w:w="602"/>
      </w:tblGrid>
      <w:tr>
        <w:trPr/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4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(по ОКЕИ)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/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6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/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 комплекса процессных мероприятий: «Соблюдение соответствия качества содержания мест захоронения требованиям санитарных норм и правил»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содержанию мест захоронений, в том числе подъездных путей к местам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Создание оптимальных условий по посещению и уходом за местами захоронений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47"/>
        <w:gridCol w:w="1832"/>
        <w:gridCol w:w="1814"/>
        <w:gridCol w:w="1754"/>
        <w:gridCol w:w="1823"/>
      </w:tblGrid>
      <w:tr>
        <w:trPr>
          <w:cantSplit w:val="true"/>
        </w:trPr>
        <w:tc>
          <w:tcPr>
            <w:tcW w:w="7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72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52" w:hRule="atLeast"/>
          <w:cantSplit w:val="true"/>
        </w:trPr>
        <w:tc>
          <w:tcPr>
            <w:tcW w:w="73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trHeight w:val="228" w:hRule="atLeast"/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Местный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5. План по реализации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8385"/>
        <w:gridCol w:w="1588"/>
        <w:gridCol w:w="1980"/>
        <w:gridCol w:w="2049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мероприятия/ типа мероприятий*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точки&lt;1*&gt;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**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auto"/>
                <w:sz w:val="24"/>
              </w:rPr>
              <w:t xml:space="preserve">Наименование задачи комплекса процессных мероприятий 1: </w:t>
            </w:r>
            <w:r>
              <w:rPr>
                <w:rFonts w:ascii="Times New Roman" w:hAnsi="Times New Roman"/>
                <w:color w:val="auto"/>
                <w:sz w:val="24"/>
              </w:rPr>
              <w:t>«Соблюдение соответствия качества содержания мест захоронения требованиям санитарных норм и правил»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Наименование мероприятия (результата) 1: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Мероприятия по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содержанию мест захоронений, в том числе подъездных путей к местам захоронений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Контрольная точка 1.1: </w:t>
            </w:r>
            <w:r>
              <w:rPr>
                <w:rFonts w:ascii="Times New Roman" w:hAnsi="Times New Roman"/>
                <w:color w:val="auto"/>
                <w:sz w:val="24"/>
              </w:rPr>
              <w:t>Проведен конкурс по выбору исполнителя работ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Муниципальный контракт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Акт выполненных работ</w:t>
            </w:r>
          </w:p>
        </w:tc>
      </w:tr>
    </w:tbl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----------------------------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 Типы мероприятий: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1. Обеспечение оказания муниципальных услуг (выполнение работ)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2. Повышение квалификации кадров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3. Осуществление выплат физическим лицам (пособий, компенсаций и иных социальных выплат различных категорий граждан)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4. Осуществление закупок товаров, работ и услуг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5. Жилищное обеспечение граждан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6. Иные типы</w:t>
      </w:r>
    </w:p>
    <w:p>
      <w:pPr>
        <w:pStyle w:val="Normal"/>
        <w:widowControl w:val="false"/>
        <w:ind w:firstLine="72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** Указывается вид документа, подтверждающего факт достижения контрольной точки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&lt;1*&gt; Допускается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  <w:r>
        <w:br w:type="page"/>
      </w:r>
    </w:p>
    <w:p>
      <w:pPr>
        <w:pStyle w:val="ConsPlusNormal"/>
        <w:spacing w:beforeAutospacing="0" w:before="0" w:afterAutospacing="0" w:after="0"/>
        <w:jc w:val="center"/>
        <w:rPr>
          <w:sz w:val="28"/>
        </w:rPr>
      </w:pPr>
      <w:bookmarkStart w:id="13" w:name="P2307_Копия_1_Копия_1"/>
      <w:bookmarkEnd w:id="13"/>
      <w:r>
        <w:rPr>
          <w:rFonts w:ascii="Times New Roman" w:hAnsi="Times New Roman"/>
          <w:sz w:val="28"/>
        </w:rPr>
        <w:t>ПАСПОРТ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u w:val="single"/>
        </w:rPr>
        <w:t>Прочее благоустройство (Закупка товаров, работ и услуг для обеспечения государственных (муниципальных) нужд)</w:t>
      </w:r>
      <w:r>
        <w:rPr>
          <w:rFonts w:ascii="Times New Roman" w:hAnsi="Times New Roman"/>
          <w:color w:val="000000"/>
          <w:sz w:val="28"/>
        </w:rPr>
        <w:t>»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76"/>
        <w:gridCol w:w="7593"/>
      </w:tblGrid>
      <w:tr>
        <w:trPr/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ЖКХ администрации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7428"/>
        <w:gridCol w:w="1244"/>
        <w:gridCol w:w="3003"/>
        <w:gridCol w:w="794"/>
        <w:gridCol w:w="692"/>
        <w:gridCol w:w="782"/>
      </w:tblGrid>
      <w:tr>
        <w:trPr>
          <w:tblHeader w:val="true"/>
          <w:cantSplit w:val="true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7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tblHeader w:val="true"/>
          <w:cantSplit w:val="true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</w:t>
            </w:r>
            <w:r>
              <w:rPr>
                <w:rFonts w:ascii="Times New Roman" w:hAnsi="Times New Roman"/>
                <w:color w:val="000000"/>
                <w:sz w:val="24"/>
              </w:rPr>
              <w:t>ание задачи: «Повышение надежности и эффективности функционирования жилищно-коммунальных систем жизнеобеспечения насе</w:t>
            </w:r>
            <w:r>
              <w:rPr>
                <w:rFonts w:ascii="Times New Roman" w:hAnsi="Times New Roman"/>
                <w:color w:val="auto"/>
                <w:sz w:val="24"/>
              </w:rPr>
              <w:t>ления муниципального округа»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</w:t>
            </w:r>
            <w:r>
              <w:rPr>
                <w:rFonts w:ascii="Times New Roman" w:hAnsi="Times New Roman"/>
                <w:color w:val="000000"/>
                <w:sz w:val="24"/>
              </w:rPr>
              <w:t>ъектов модернизации,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</w:t>
            </w:r>
            <w:r>
              <w:rPr>
                <w:rFonts w:ascii="Times New Roman" w:hAnsi="Times New Roman"/>
                <w:color w:val="000000"/>
                <w:sz w:val="24"/>
              </w:rPr>
              <w:t>ание задачи: «Создание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6348"/>
        <w:gridCol w:w="1245"/>
        <w:gridCol w:w="1877"/>
        <w:gridCol w:w="2621"/>
        <w:gridCol w:w="630"/>
        <w:gridCol w:w="677"/>
        <w:gridCol w:w="602"/>
      </w:tblGrid>
      <w:tr>
        <w:trPr>
          <w:tblHeader w:val="true"/>
          <w:cantSplit w:val="true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6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(по ОКЕИ)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tblHeader w:val="true"/>
          <w:cantSplit w:val="true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34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cantSplit w:val="true"/>
        </w:trPr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 комплекса процессных мероприятий: «Повышение надежности и эффективности функционирования жилищно-коммунальных с</w:t>
            </w:r>
            <w:r>
              <w:rPr>
                <w:rFonts w:ascii="Times New Roman" w:hAnsi="Times New Roman"/>
                <w:color w:val="000000"/>
                <w:sz w:val="24"/>
              </w:rPr>
              <w:t>истем жизнеобеспечения нас</w:t>
            </w:r>
            <w:r>
              <w:rPr>
                <w:rFonts w:ascii="Times New Roman" w:hAnsi="Times New Roman"/>
                <w:color w:val="auto"/>
                <w:sz w:val="24"/>
              </w:rPr>
              <w:t>еления муниципального округа»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Модернизация, реконструкция и капитальный ремонт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текущий ремонт подъездов многоквартирных домов без способа управления, капитальный ремонт многоквартирных домов в аварийной ситуации </w:t>
            </w:r>
            <w:r>
              <w:rPr>
                <w:rFonts w:ascii="Times New Roman" w:hAnsi="Times New Roman"/>
                <w:color w:val="auto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качественного и комфортного проживания граждан, благоустройство территорий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зада</w:t>
            </w:r>
            <w:r>
              <w:rPr>
                <w:rFonts w:ascii="Times New Roman" w:hAnsi="Times New Roman"/>
                <w:sz w:val="24"/>
                <w:szCs w:val="24"/>
              </w:rPr>
              <w:t>чи комплекса процессных мероприятий: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безбарьерной среды для маломобильных групп граждан (ветеранов боевых действий — участников специальной военной операции и членов их семей)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качественного и комфортного проживания граждан, благоустройство территорий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47"/>
        <w:gridCol w:w="1832"/>
        <w:gridCol w:w="1814"/>
        <w:gridCol w:w="1754"/>
        <w:gridCol w:w="1823"/>
      </w:tblGrid>
      <w:tr>
        <w:trPr>
          <w:cantSplit w:val="true"/>
        </w:trPr>
        <w:tc>
          <w:tcPr>
            <w:tcW w:w="7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72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52" w:hRule="atLeast"/>
          <w:cantSplit w:val="true"/>
        </w:trPr>
        <w:tc>
          <w:tcPr>
            <w:tcW w:w="73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trHeight w:val="228" w:hRule="atLeast"/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Местный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color w:val="26282F"/>
          <w:sz w:val="28"/>
        </w:rPr>
      </w:pPr>
      <w:r>
        <w:rPr>
          <w:color w:val="26282F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5. План по реализации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47"/>
        <w:gridCol w:w="8506"/>
        <w:gridCol w:w="1588"/>
        <w:gridCol w:w="1980"/>
        <w:gridCol w:w="2049"/>
      </w:tblGrid>
      <w:tr>
        <w:trPr>
          <w:tblHeader w:val="true"/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мероприятия/ типа мероприятий</w:t>
            </w:r>
            <w:r>
              <w:rPr>
                <w:color w:val="106BBE"/>
                <w:sz w:val="24"/>
              </w:rPr>
              <w:t>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точки&lt;1*&gt;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**</w:t>
            </w:r>
          </w:p>
        </w:tc>
      </w:tr>
      <w:tr>
        <w:trPr>
          <w:cantSplit w:val="true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 комплекса процессных мероприятий: «Повышение надежности и эффективности функционирования жилищно-коммунальных сист</w:t>
            </w:r>
            <w:r>
              <w:rPr>
                <w:rFonts w:ascii="Times New Roman" w:hAnsi="Times New Roman"/>
                <w:color w:val="000000"/>
                <w:sz w:val="24"/>
              </w:rPr>
              <w:t>ем жизнеобеспечения на</w:t>
            </w:r>
            <w:r>
              <w:rPr>
                <w:rFonts w:ascii="Times New Roman" w:hAnsi="Times New Roman"/>
                <w:color w:val="auto"/>
                <w:sz w:val="24"/>
              </w:rPr>
              <w:t>селения муниципального округа»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Наименование мероприятия (результата) 1: </w:t>
            </w:r>
            <w:r>
              <w:rPr>
                <w:rFonts w:ascii="Times New Roman" w:hAnsi="Times New Roman"/>
                <w:color w:val="000000"/>
              </w:rPr>
              <w:t xml:space="preserve">Модернизация, реконструкция и капитальный ремонт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текущий ремонт подъездов многоквартирных домов без способа управления, капитальный ремонт многоквартирных домов в аварийной ситуации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Контрольная точка 1.1: </w:t>
            </w:r>
            <w:r>
              <w:rPr>
                <w:color w:val="auto"/>
              </w:rPr>
              <w:t>Проведен конкурс по выбору исполнителя работ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Иные типы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Муниципальный контракт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/>
              <w:t>Акт выполненных работ</w:t>
            </w:r>
          </w:p>
        </w:tc>
      </w:tr>
      <w:tr>
        <w:trPr>
          <w:cantSplit w:val="true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задачи комплекса процессных мероприятий: «Формирование безбарьерной среды для маломобильных групп граждан (ветеранов боевых действий — участников специальной военной операции и членов их семей)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доступности»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Наименование мероприятия (результата) 1: </w:t>
            </w:r>
            <w:r>
              <w:rPr>
                <w:rFonts w:ascii="Times New Roman" w:hAnsi="Times New Roman"/>
                <w:color w:val="000000"/>
              </w:rPr>
              <w:t xml:space="preserve">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Контрольная точка 1.1: Проведен конкурс по выбору исполнителя работ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Иные типы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/>
              <w:t>Акт выполненных работ</w:t>
            </w:r>
          </w:p>
        </w:tc>
      </w:tr>
    </w:tbl>
    <w:p>
      <w:pPr>
        <w:pStyle w:val="Normal"/>
        <w:widowControl w:val="false"/>
        <w:rPr>
          <w:sz w:val="28"/>
        </w:rPr>
      </w:pPr>
      <w:r>
        <w:rPr>
          <w:sz w:val="28"/>
        </w:rPr>
        <w:t>----------------------------</w:t>
      </w:r>
    </w:p>
    <w:p>
      <w:pPr>
        <w:pStyle w:val="Normal"/>
        <w:widowControl w:val="false"/>
        <w:rPr/>
      </w:pPr>
      <w:r>
        <w:rPr>
          <w:sz w:val="28"/>
        </w:rPr>
        <w:t>* Типы мероприятий:</w:t>
      </w:r>
    </w:p>
    <w:p>
      <w:pPr>
        <w:pStyle w:val="Normal"/>
        <w:widowControl w:val="false"/>
        <w:rPr/>
      </w:pPr>
      <w:r>
        <w:rPr>
          <w:sz w:val="28"/>
        </w:rPr>
        <w:t>1. Обеспечение оказания муниципальных услуг (выполнение работ)</w:t>
      </w:r>
    </w:p>
    <w:p>
      <w:pPr>
        <w:pStyle w:val="Normal"/>
        <w:widowControl w:val="false"/>
        <w:rPr/>
      </w:pPr>
      <w:r>
        <w:rPr>
          <w:sz w:val="28"/>
        </w:rPr>
        <w:t>2. Повышение квалификации кадров</w:t>
      </w:r>
    </w:p>
    <w:p>
      <w:pPr>
        <w:pStyle w:val="Normal"/>
        <w:widowControl w:val="false"/>
        <w:rPr/>
      </w:pPr>
      <w:r>
        <w:rPr>
          <w:sz w:val="28"/>
        </w:rPr>
        <w:t>3. Осуществление выплат физическим лицам (пособий, компенсаций и иных социальных выплат различных категорий граждан)</w:t>
      </w:r>
    </w:p>
    <w:p>
      <w:pPr>
        <w:pStyle w:val="Normal"/>
        <w:widowControl w:val="false"/>
        <w:rPr/>
      </w:pPr>
      <w:r>
        <w:rPr>
          <w:sz w:val="28"/>
        </w:rPr>
        <w:t>4. Осуществление закупок товаров, работ и услуг</w:t>
      </w:r>
    </w:p>
    <w:p>
      <w:pPr>
        <w:pStyle w:val="Normal"/>
        <w:widowControl w:val="false"/>
        <w:rPr/>
      </w:pPr>
      <w:r>
        <w:rPr>
          <w:sz w:val="28"/>
        </w:rPr>
        <w:t>5. Жилищное обеспечение граждан</w:t>
      </w:r>
    </w:p>
    <w:p>
      <w:pPr>
        <w:pStyle w:val="Normal"/>
        <w:widowControl w:val="false"/>
        <w:rPr/>
      </w:pPr>
      <w:r>
        <w:rPr>
          <w:sz w:val="28"/>
        </w:rPr>
        <w:t>6. Иные типы</w:t>
      </w:r>
    </w:p>
    <w:p>
      <w:pPr>
        <w:pStyle w:val="Normal"/>
        <w:widowControl w:val="false"/>
        <w:ind w:firstLine="72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/>
      </w:pPr>
      <w:r>
        <w:rPr>
          <w:sz w:val="28"/>
        </w:rPr>
        <w:t>** Указывается вид документа, подтверждающего факт достижения контрольной точки</w:t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/>
      </w:pPr>
      <w:r>
        <w:rPr>
          <w:sz w:val="28"/>
        </w:rPr>
        <w:t>&lt;1*&gt; Допускается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Финансовое обеспечение реализации муниципальной программы за счет всех источников финансирования</w:t>
      </w:r>
    </w:p>
    <w:p>
      <w:pPr>
        <w:pStyle w:val="Normal"/>
        <w:widowControl w:val="false"/>
        <w:ind w:firstLine="720" w:left="0" w:right="0"/>
        <w:jc w:val="both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0"/>
        <w:gridCol w:w="3"/>
        <w:gridCol w:w="5031"/>
        <w:gridCol w:w="1968"/>
        <w:gridCol w:w="2353"/>
        <w:gridCol w:w="16"/>
        <w:gridCol w:w="1072"/>
        <w:gridCol w:w="1125"/>
        <w:gridCol w:w="1073"/>
        <w:gridCol w:w="1240"/>
        <w:gridCol w:w="7"/>
      </w:tblGrid>
      <w:tr>
        <w:trPr>
          <w:tblHeader w:val="true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исполнитель, соисполнители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4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(тыс. руб.), годы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true"/>
        </w:trPr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Благоустройство населенных пунктов Аргаяшского муниципального округа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25 703,00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78 709,40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25 703,00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78 709,40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8" w:hRule="atLeast"/>
        </w:trPr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8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1. «</w:t>
            </w:r>
            <w:r>
              <w:rPr>
                <w:rFonts w:ascii="Times New Roman" w:hAnsi="Times New Roman"/>
                <w:color w:val="000000"/>
                <w:sz w:val="24"/>
              </w:rPr>
              <w:t>Уличное освещение (Закупка товаров, работ и услуг для обеспечения государственных (муниципальных) нужд)»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1.1.1.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Модернизация и замена устаревшего оборудования сетей уличного оборудования; мероприятия, направленные на бесперебойную поставку ресурса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61 609,00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61 609,00</w:t>
            </w:r>
          </w:p>
        </w:tc>
        <w:tc>
          <w:tcPr>
            <w:tcW w:w="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8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2. «С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одержание мест захоронения (Закупка товаров, работ и услуг для обеспечения государственных (муниципальных) нужд)»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2.1.1. </w:t>
            </w:r>
            <w:r>
              <w:rPr>
                <w:rFonts w:ascii="Times New Roman" w:hAnsi="Times New Roman"/>
                <w:color w:val="000000"/>
                <w:sz w:val="24"/>
              </w:rPr>
              <w:t>Мероприятия по содержанию мест захоронений, в том числе подъездных путей к местам захоронений (Закупка товаров, работ и услуг для обеспечения государственных (муниципальных) нужд).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2 100,00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2 100,00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38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3. «Прочее благоустройство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(Закупка товаров, работ и услуг для обеспечения государственных (муниципальных) нужд)»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3.1.1. </w:t>
            </w:r>
            <w:r>
              <w:rPr>
                <w:rFonts w:ascii="Times New Roman" w:hAnsi="Times New Roman"/>
                <w:color w:val="000000"/>
              </w:rPr>
              <w:t xml:space="preserve">Модернизация, реконструкция и капитальный ремонт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текущий ремонт подъездов многоквартирных домов без способа управления, капитальный ремонт многоквартирных домов в аварийной ситуации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15 000,00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15 000,00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3.2.1. 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ЖКХ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jc w:val="center"/>
        <w:rPr>
          <w:color w:val="26282F"/>
        </w:rPr>
      </w:pPr>
      <w:r>
        <w:rPr>
          <w:color w:val="26282F"/>
        </w:rPr>
      </w:r>
    </w:p>
    <w:p>
      <w:pPr>
        <w:pStyle w:val="ConsPlusNormal"/>
        <w:widowControl w:val="false"/>
        <w:ind w:firstLine="680" w:left="0" w:right="0"/>
        <w:jc w:val="both"/>
        <w:rPr>
          <w:color w:val="26282F"/>
        </w:rPr>
      </w:pPr>
      <w:r>
        <w:rPr>
          <w:color w:val="26282F"/>
        </w:rPr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color w:val="26282F"/>
          <w:sz w:val="28"/>
        </w:rPr>
      </w:pPr>
      <w:r>
        <w:rPr>
          <w:color w:val="26282F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Методика расчета и источники информации</w:t>
      </w:r>
    </w:p>
    <w:p>
      <w:pPr>
        <w:pStyle w:val="Normal"/>
        <w:widowControl w:val="false"/>
        <w:jc w:val="center"/>
        <w:rPr>
          <w:sz w:val="28"/>
        </w:rPr>
      </w:pPr>
      <w:r>
        <w:rPr>
          <w:color w:val="26282F"/>
          <w:sz w:val="28"/>
        </w:rPr>
        <w:t>о значениях целевых показателей муниципальной программы,</w:t>
      </w:r>
    </w:p>
    <w:p>
      <w:pPr>
        <w:pStyle w:val="Normal"/>
        <w:widowControl w:val="false"/>
        <w:jc w:val="center"/>
        <w:rPr>
          <w:sz w:val="28"/>
        </w:rPr>
      </w:pPr>
      <w:r>
        <w:rPr>
          <w:color w:val="26282F"/>
          <w:sz w:val="28"/>
        </w:rPr>
        <w:t>показателей структурных элементов</w:t>
      </w:r>
    </w:p>
    <w:p>
      <w:pPr>
        <w:pStyle w:val="Normal"/>
        <w:widowControl w:val="false"/>
        <w:jc w:val="center"/>
        <w:rPr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«Благоустройство населенных пунктов Аргаяшского муниципального округа»</w:t>
      </w:r>
    </w:p>
    <w:p>
      <w:pPr>
        <w:pStyle w:val="Normal"/>
        <w:widowControl w:val="false"/>
        <w:jc w:val="center"/>
        <w:rPr>
          <w:sz w:val="28"/>
        </w:rPr>
      </w:pPr>
      <w:r>
        <w:rPr>
          <w:color w:val="26282F"/>
          <w:sz w:val="28"/>
        </w:rPr>
        <w:t>(наименование муниципальной программы)</w:t>
      </w:r>
    </w:p>
    <w:p>
      <w:pPr>
        <w:pStyle w:val="Normal"/>
        <w:widowControl w:val="false"/>
        <w:ind w:firstLine="720" w:left="0" w:right="0"/>
        <w:jc w:val="both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5"/>
        <w:gridCol w:w="10265"/>
        <w:gridCol w:w="1484"/>
        <w:gridCol w:w="2315"/>
      </w:tblGrid>
      <w:tr>
        <w:trPr>
          <w:tblHeader w:val="true"/>
          <w:cantSplit w:val="true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показателя,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ед. измерения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Расчет целевого показателя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Источник получения информации о целевых показателях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cantSplit w:val="true"/>
        </w:trPr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 «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Благоустройство населенных пунктов Аргаяшского муниципального округа»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объектов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Направление 1. «</w:t>
            </w:r>
            <w:r>
              <w:rPr>
                <w:rFonts w:ascii="Times New Roman" w:hAnsi="Times New Roman"/>
                <w:color w:val="000000"/>
                <w:sz w:val="24"/>
              </w:rPr>
              <w:t>Уличное освещение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Направление 2. «С</w:t>
            </w:r>
            <w:r>
              <w:rPr>
                <w:rFonts w:ascii="Times New Roman" w:hAnsi="Times New Roman"/>
                <w:color w:val="000000"/>
              </w:rPr>
              <w:t>одержание мест захоронения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Направление 3. «Прочее благоустройство</w:t>
            </w:r>
            <w:r>
              <w:rPr>
                <w:rFonts w:ascii="Times New Roman" w:hAnsi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</w:tbl>
    <w:p>
      <w:pPr>
        <w:pStyle w:val="ConsPlus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onsPlusNormal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orient="landscape" w:w="16838" w:h="11906"/>
      <w:pgMar w:left="1134" w:right="1134" w:gutter="0" w:header="0" w:top="1417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Autospacing="0" w:before="108" w:afterAutospacing="0" w:after="108"/>
      <w:jc w:val="center"/>
      <w:outlineLvl w:val="0"/>
    </w:pPr>
    <w:rPr>
      <w:b/>
      <w:color w:val="000080"/>
    </w:rPr>
  </w:style>
  <w:style w:type="paragraph" w:styleId="Heading2">
    <w:name w:val="heading 2"/>
    <w:basedOn w:val="Style31"/>
    <w:qFormat/>
    <w:pPr>
      <w:numPr>
        <w:ilvl w:val="0"/>
        <w:numId w:val="0"/>
      </w:numPr>
      <w:tabs>
        <w:tab w:val="clear" w:pos="720"/>
        <w:tab w:val="left" w:pos="0" w:leader="none"/>
      </w:tabs>
      <w:ind w:hanging="0" w:left="0"/>
      <w:outlineLvl w:val="1"/>
    </w:pPr>
    <w:rPr/>
  </w:style>
  <w:style w:type="paragraph" w:styleId="Heading3">
    <w:name w:val="heading 3"/>
    <w:basedOn w:val="Style31"/>
    <w:qFormat/>
    <w:pPr>
      <w:numPr>
        <w:ilvl w:val="0"/>
        <w:numId w:val="0"/>
      </w:numPr>
      <w:tabs>
        <w:tab w:val="clear" w:pos="720"/>
        <w:tab w:val="left" w:pos="0" w:leader="none"/>
      </w:tabs>
      <w:ind w:hanging="0" w:left="0"/>
      <w:outlineLvl w:val="2"/>
    </w:pPr>
    <w:rPr/>
  </w:style>
  <w:style w:type="paragraph" w:styleId="Heading4">
    <w:name w:val="heading 4"/>
    <w:basedOn w:val="Style31"/>
    <w:qFormat/>
    <w:pPr/>
    <w:rPr/>
  </w:style>
  <w:style w:type="paragraph" w:styleId="Heading5">
    <w:name w:val="heading 5"/>
    <w:basedOn w:val="Style31"/>
    <w:qFormat/>
    <w:pPr/>
    <w:rPr/>
  </w:style>
  <w:style w:type="paragraph" w:styleId="Heading6">
    <w:name w:val="heading 6"/>
    <w:basedOn w:val="Style31"/>
    <w:qFormat/>
    <w:pPr/>
    <w:rPr/>
  </w:style>
  <w:style w:type="paragraph" w:styleId="Heading7">
    <w:name w:val="heading 7"/>
    <w:basedOn w:val="Style31"/>
    <w:qFormat/>
    <w:pPr/>
    <w:rPr/>
  </w:style>
  <w:style w:type="paragraph" w:styleId="Heading8">
    <w:name w:val="heading 8"/>
    <w:basedOn w:val="Style31"/>
    <w:qFormat/>
    <w:pPr/>
    <w:rPr/>
  </w:style>
  <w:style w:type="paragraph" w:styleId="Heading9">
    <w:name w:val="heading 9"/>
    <w:basedOn w:val="Style31"/>
    <w:qFormat/>
    <w:pPr/>
    <w:rPr/>
  </w:style>
  <w:style w:type="character" w:styleId="DefaultParagraphFont" w:default="1">
    <w:name w:val="Default Paragraph Font"/>
    <w:qFormat/>
    <w:rPr/>
  </w:style>
  <w:style w:type="character" w:styleId="LineNumber">
    <w:name w:val="line number"/>
    <w:semiHidden/>
    <w:rPr/>
  </w:style>
  <w:style w:type="character" w:styleId="Hyperlink">
    <w:name w:val="Hyperlink"/>
    <w:rPr>
      <w:color w:val="000080"/>
      <w:u w:val="single"/>
    </w:rPr>
  </w:style>
  <w:style w:type="character" w:styleId="Heading1Char">
    <w:name w:val="Heading 1 Char"/>
    <w:basedOn w:val="DefaultParagraphFont"/>
    <w:qFormat/>
    <w:rPr>
      <w:rFonts w:ascii="Arial" w:hAnsi="Arial"/>
      <w:sz w:val="40"/>
    </w:rPr>
  </w:style>
  <w:style w:type="character" w:styleId="Heading2Char">
    <w:name w:val="Heading 2 Char"/>
    <w:basedOn w:val="DefaultParagraphFont"/>
    <w:qFormat/>
    <w:rPr>
      <w:rFonts w:ascii="PT Astra Serif" w:hAnsi="PT Astra Serif"/>
      <w:b/>
      <w:sz w:val="28"/>
    </w:rPr>
  </w:style>
  <w:style w:type="character" w:styleId="Heading3Char">
    <w:name w:val="Heading 3 Char"/>
    <w:basedOn w:val="DefaultParagraphFont"/>
    <w:qFormat/>
    <w:rPr>
      <w:rFonts w:ascii="PT Astra Serif" w:hAnsi="PT Astra Serif"/>
      <w:b/>
      <w:sz w:val="28"/>
    </w:rPr>
  </w:style>
  <w:style w:type="character" w:styleId="Heading4Char">
    <w:name w:val="Heading 4 Char"/>
    <w:basedOn w:val="DefaultParagraphFont"/>
    <w:qFormat/>
    <w:rPr>
      <w:rFonts w:ascii="Arial" w:hAnsi="Arial"/>
      <w:b/>
      <w:sz w:val="26"/>
    </w:rPr>
  </w:style>
  <w:style w:type="character" w:styleId="Heading5Char">
    <w:name w:val="Heading 5 Char"/>
    <w:basedOn w:val="DefaultParagraphFont"/>
    <w:qFormat/>
    <w:rPr>
      <w:rFonts w:ascii="Arial" w:hAnsi="Arial"/>
      <w:b/>
      <w:sz w:val="24"/>
    </w:rPr>
  </w:style>
  <w:style w:type="character" w:styleId="Heading6Char">
    <w:name w:val="Heading 6 Char"/>
    <w:basedOn w:val="DefaultParagraphFont"/>
    <w:qFormat/>
    <w:rPr>
      <w:rFonts w:ascii="Arial" w:hAnsi="Arial"/>
      <w:b/>
      <w:sz w:val="22"/>
    </w:rPr>
  </w:style>
  <w:style w:type="character" w:styleId="Heading7Char">
    <w:name w:val="Heading 7 Char"/>
    <w:basedOn w:val="DefaultParagraphFont"/>
    <w:qFormat/>
    <w:rPr>
      <w:rFonts w:ascii="Arial" w:hAnsi="Arial"/>
      <w:b/>
      <w:i/>
      <w:sz w:val="22"/>
    </w:rPr>
  </w:style>
  <w:style w:type="character" w:styleId="Heading8Char">
    <w:name w:val="Heading 8 Char"/>
    <w:basedOn w:val="DefaultParagraphFont"/>
    <w:qFormat/>
    <w:rPr>
      <w:rFonts w:ascii="Arial" w:hAnsi="Arial"/>
      <w:i/>
      <w:sz w:val="22"/>
    </w:rPr>
  </w:style>
  <w:style w:type="character" w:styleId="Heading9Char">
    <w:name w:val="Heading 9 Char"/>
    <w:basedOn w:val="DefaultParagraphFont"/>
    <w:qFormat/>
    <w:rPr>
      <w:rFonts w:ascii="Arial" w:hAnsi="Arial"/>
      <w:i/>
      <w:sz w:val="21"/>
    </w:rPr>
  </w:style>
  <w:style w:type="character" w:styleId="Style5">
    <w:name w:val="Название Знак"/>
    <w:basedOn w:val="DefaultParagraphFont"/>
    <w:qFormat/>
    <w:rPr>
      <w:sz w:val="48"/>
    </w:rPr>
  </w:style>
  <w:style w:type="character" w:styleId="Style6">
    <w:name w:val="Подзаголовок Знак"/>
    <w:basedOn w:val="DefaultParagraphFont"/>
    <w:qFormat/>
    <w:rPr>
      <w:sz w:val="24"/>
    </w:rPr>
  </w:style>
  <w:style w:type="character" w:styleId="2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basedOn w:val="DefaultParagraphFont"/>
    <w:qFormat/>
    <w:rPr>
      <w:b/>
      <w:color w:val="4F81BD"/>
      <w:sz w:val="18"/>
    </w:rPr>
  </w:style>
  <w:style w:type="character" w:styleId="Style8">
    <w:name w:val="Текст сноски Знак"/>
    <w:qFormat/>
    <w:rPr>
      <w:sz w:val="18"/>
    </w:rPr>
  </w:style>
  <w:style w:type="character" w:styleId="Style9">
    <w:name w:val="Текст концевой сноски Знак"/>
    <w:qFormat/>
    <w:rPr>
      <w:sz w:val="20"/>
    </w:rPr>
  </w:style>
  <w:style w:type="character" w:styleId="WW8Num4z0">
    <w:name w:val="WW8Num4z0"/>
    <w:qFormat/>
    <w:rPr>
      <w:sz w:val="28"/>
    </w:rPr>
  </w:style>
  <w:style w:type="character" w:styleId="WW8Num5z0">
    <w:name w:val="WW8Num5z0"/>
    <w:qFormat/>
    <w:rPr>
      <w:rFonts w:ascii="Times New Roman" w:hAnsi="Times New Roman"/>
    </w:rPr>
  </w:style>
  <w:style w:type="character" w:styleId="WW8Num4z1">
    <w:name w:val="WW8Num4z1"/>
    <w:qFormat/>
    <w:rPr/>
  </w:style>
  <w:style w:type="character" w:styleId="WW8Num6z0">
    <w:name w:val="WW8Num6z0"/>
    <w:qFormat/>
    <w:rPr>
      <w:rFonts w:ascii="Times New Roman" w:hAnsi="Times New Roman"/>
    </w:rPr>
  </w:style>
  <w:style w:type="character" w:styleId="WW8Num3z0">
    <w:name w:val="WW8Num3z0"/>
    <w:qFormat/>
    <w:rPr>
      <w:rFonts w:ascii="PT Astra Serif" w:hAnsi="PT Astra Serif"/>
    </w:rPr>
  </w:style>
  <w:style w:type="character" w:styleId="WW8Num3z1">
    <w:name w:val="WW8Num3z1"/>
    <w:qFormat/>
    <w:rPr/>
  </w:style>
  <w:style w:type="character" w:styleId="WW8Num2z0">
    <w:name w:val="WW8Num2z0"/>
    <w:qFormat/>
    <w:rPr>
      <w:rFonts w:ascii="PT Astra Serif" w:hAnsi="PT Astra Serif"/>
    </w:rPr>
  </w:style>
  <w:style w:type="character" w:styleId="WW8Num2z2">
    <w:name w:val="WW8Num2z2"/>
    <w:qFormat/>
    <w:rPr/>
  </w:style>
  <w:style w:type="character" w:styleId="WW8Num6z1">
    <w:name w:val="WW8Num6z1"/>
    <w:qFormat/>
    <w:rPr/>
  </w:style>
  <w:style w:type="character" w:styleId="WW8Num7z0">
    <w:name w:val="WW8Num7z0"/>
    <w:qFormat/>
    <w:rPr>
      <w:sz w:val="28"/>
    </w:rPr>
  </w:style>
  <w:style w:type="character" w:styleId="WW8Num8z0">
    <w:name w:val="WW8Num8z0"/>
    <w:qFormat/>
    <w:rPr>
      <w:rFonts w:ascii="Times New Roman" w:hAnsi="Times New Roman"/>
    </w:rPr>
  </w:style>
  <w:style w:type="character" w:styleId="Style10">
    <w:name w:val="Символ нумерации"/>
    <w:qFormat/>
    <w:rPr/>
  </w:style>
  <w:style w:type="character" w:styleId="Style11">
    <w:name w:val="Маркеры списка"/>
    <w:qFormat/>
    <w:rPr>
      <w:rFonts w:ascii="OpenSymbol" w:hAnsi="OpenSymbol"/>
    </w:rPr>
  </w:style>
  <w:style w:type="character" w:styleId="Style12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13">
    <w:name w:val="Символы названия"/>
    <w:qFormat/>
    <w:rPr/>
  </w:style>
  <w:style w:type="character" w:styleId="Style14">
    <w:name w:val="Буквица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5">
    <w:name w:val="Заполнитель"/>
    <w:qFormat/>
    <w:rPr>
      <w:color w:val="008080"/>
      <w:u w:val="single"/>
    </w:rPr>
  </w:style>
  <w:style w:type="character" w:styleId="Style16">
    <w:name w:val="Ссылка указателя"/>
    <w:qFormat/>
    <w:rPr/>
  </w:style>
  <w:style w:type="character" w:styleId="Style17">
    <w:name w:val="Символ концевой сноски"/>
    <w:qFormat/>
    <w:rPr>
      <w:vertAlign w:val="superscript"/>
    </w:rPr>
  </w:style>
  <w:style w:type="character" w:styleId="Style18">
    <w:name w:val="Основной элемент указателя"/>
    <w:qFormat/>
    <w:rPr>
      <w:b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Фуригана"/>
    <w:qFormat/>
    <w:rPr>
      <w:sz w:val="12"/>
      <w:u w:val="none"/>
    </w:rPr>
  </w:style>
  <w:style w:type="character" w:styleId="Style20">
    <w:name w:val="Вертикальное направление символов"/>
    <w:qFormat/>
    <w:rPr/>
  </w:style>
  <w:style w:type="character" w:styleId="Emphasis">
    <w:name w:val="Emphasis"/>
    <w:qFormat/>
    <w:rPr>
      <w:i/>
    </w:rPr>
  </w:style>
  <w:style w:type="character" w:styleId="1">
    <w:name w:val="Цитата1"/>
    <w:qFormat/>
    <w:rPr>
      <w:i/>
    </w:rPr>
  </w:style>
  <w:style w:type="character" w:styleId="Strong">
    <w:name w:val="Strong"/>
    <w:qFormat/>
    <w:rPr>
      <w:b/>
    </w:rPr>
  </w:style>
  <w:style w:type="character" w:styleId="Style21">
    <w:name w:val="Исходный текст"/>
    <w:qFormat/>
    <w:rPr>
      <w:rFonts w:ascii="Liberation Mono" w:hAnsi="Liberation Mono"/>
    </w:rPr>
  </w:style>
  <w:style w:type="character" w:styleId="Style22">
    <w:name w:val="Пример"/>
    <w:qFormat/>
    <w:rPr>
      <w:rFonts w:ascii="Liberation Mono" w:hAnsi="Liberation Mono"/>
    </w:rPr>
  </w:style>
  <w:style w:type="character" w:styleId="21">
    <w:name w:val="Нумерованный список 2 Знак"/>
    <w:link w:val="3"/>
    <w:qFormat/>
    <w:rPr/>
  </w:style>
  <w:style w:type="character" w:styleId="Style23">
    <w:name w:val="Переменная"/>
    <w:qFormat/>
    <w:rPr>
      <w:i/>
    </w:rPr>
  </w:style>
  <w:style w:type="character" w:styleId="Style24">
    <w:name w:val="Определение"/>
    <w:qFormat/>
    <w:rPr/>
  </w:style>
  <w:style w:type="character" w:styleId="Style25">
    <w:name w:val="Непропорциональный текст"/>
    <w:qFormat/>
    <w:rPr>
      <w:rFonts w:ascii="Liberation Mono" w:hAnsi="Liberation Mono"/>
    </w:rPr>
  </w:style>
  <w:style w:type="character" w:styleId="WW8Num7z1">
    <w:name w:val="WW8Num7z1"/>
    <w:qFormat/>
    <w:rPr>
      <w:rFonts w:ascii="Times New Roman" w:hAnsi="Times New Roman"/>
      <w:sz w:val="28"/>
    </w:rPr>
  </w:style>
  <w:style w:type="character" w:styleId="WW8Num3z2">
    <w:name w:val="WW8Num3z2"/>
    <w:qFormat/>
    <w:rPr>
      <w:rFonts w:ascii="PT Astra Serif" w:hAnsi="PT Astra Serif"/>
    </w:rPr>
  </w:style>
  <w:style w:type="character" w:styleId="WW8Num10z0">
    <w:name w:val="WW8Num10z0"/>
    <w:qFormat/>
    <w:rPr>
      <w:rFonts w:ascii="Times New Roman" w:hAnsi="Times New Roman"/>
      <w:sz w:val="28"/>
    </w:rPr>
  </w:style>
  <w:style w:type="character" w:styleId="WW8Num9z0">
    <w:name w:val="WW8Num9z0"/>
    <w:qFormat/>
    <w:rPr>
      <w:rFonts w:ascii="Times New Roman" w:hAnsi="Times New Roman"/>
      <w:sz w:val="28"/>
    </w:rPr>
  </w:style>
  <w:style w:type="character" w:styleId="Style26">
    <w:name w:val="Текст выноски Знак"/>
    <w:basedOn w:val="DefaultParagraphFont"/>
    <w:qFormat/>
    <w:rPr>
      <w:rFonts w:ascii="Tahoma" w:hAnsi="Tahoma"/>
      <w:sz w:val="16"/>
    </w:rPr>
  </w:style>
  <w:style w:type="character" w:styleId="11">
    <w:name w:val="Заголовок 1 Знак"/>
    <w:basedOn w:val="DefaultParagraphFont"/>
    <w:qFormat/>
    <w:rPr>
      <w:rFonts w:ascii="Times New Roman" w:hAnsi="Times New Roman"/>
      <w:b/>
      <w:sz w:val="28"/>
    </w:rPr>
  </w:style>
  <w:style w:type="character" w:styleId="22">
    <w:name w:val="Заголовок 2 Знак"/>
    <w:basedOn w:val="DefaultParagraphFont"/>
    <w:qFormat/>
    <w:rPr>
      <w:rFonts w:ascii="Times New Roman" w:hAnsi="Times New Roman"/>
      <w:b/>
      <w:sz w:val="32"/>
    </w:rPr>
  </w:style>
  <w:style w:type="character" w:styleId="Style27">
    <w:name w:val="Гипертекстовая ссылка"/>
    <w:basedOn w:val="DefaultParagraphFont"/>
    <w:qFormat/>
    <w:rPr>
      <w:b/>
      <w:color w:val="000000"/>
    </w:rPr>
  </w:style>
  <w:style w:type="character" w:styleId="Style28">
    <w:name w:val="Верхний колонтитул Знак"/>
    <w:basedOn w:val="DefaultParagraphFont"/>
    <w:qFormat/>
    <w:rPr>
      <w:rFonts w:ascii="PT Astra Serif" w:hAnsi="PT Astra Serif"/>
      <w:sz w:val="28"/>
    </w:rPr>
  </w:style>
  <w:style w:type="character" w:styleId="Style29">
    <w:name w:val="Нижний колонтитул Знак"/>
    <w:basedOn w:val="DefaultParagraphFont"/>
    <w:qFormat/>
    <w:rPr>
      <w:rFonts w:ascii="PT Astra Serif" w:hAnsi="PT Astra Serif"/>
      <w:sz w:val="28"/>
    </w:rPr>
  </w:style>
  <w:style w:type="character" w:styleId="List1Level0">
    <w:name w:val="List1Level0"/>
    <w:qFormat/>
    <w:rPr>
      <w:rFonts w:ascii="PT Astra Serif" w:hAnsi="PT Astra Serif"/>
    </w:rPr>
  </w:style>
  <w:style w:type="character" w:styleId="List1Level1">
    <w:name w:val="List1Level1"/>
    <w:qFormat/>
    <w:rPr>
      <w:rFonts w:ascii="PT Astra Serif" w:hAnsi="PT Astra Serif"/>
    </w:rPr>
  </w:style>
  <w:style w:type="character" w:styleId="List1Level2">
    <w:name w:val="List1Level2"/>
    <w:qFormat/>
    <w:rPr/>
  </w:style>
  <w:style w:type="character" w:styleId="List1Level3">
    <w:name w:val="List1Level3"/>
    <w:qFormat/>
    <w:rPr/>
  </w:style>
  <w:style w:type="character" w:styleId="List1Level4">
    <w:name w:val="List1Level4"/>
    <w:qFormat/>
    <w:rPr/>
  </w:style>
  <w:style w:type="character" w:styleId="List1Level5">
    <w:name w:val="List1Level5"/>
    <w:qFormat/>
    <w:rPr/>
  </w:style>
  <w:style w:type="character" w:styleId="List1Level6">
    <w:name w:val="List1Level6"/>
    <w:qFormat/>
    <w:rPr/>
  </w:style>
  <w:style w:type="character" w:styleId="List1Level7">
    <w:name w:val="List1Level7"/>
    <w:qFormat/>
    <w:rPr/>
  </w:style>
  <w:style w:type="character" w:styleId="List1Level8">
    <w:name w:val="List1Level8"/>
    <w:qFormat/>
    <w:rPr/>
  </w:style>
  <w:style w:type="character" w:styleId="List2Level0">
    <w:name w:val="List2Level0"/>
    <w:qFormat/>
    <w:rPr>
      <w:sz w:val="28"/>
    </w:rPr>
  </w:style>
  <w:style w:type="character" w:styleId="List2Level1">
    <w:name w:val="List2Level1"/>
    <w:qFormat/>
    <w:rPr>
      <w:sz w:val="28"/>
    </w:rPr>
  </w:style>
  <w:style w:type="character" w:styleId="List2Level2">
    <w:name w:val="List2Level2"/>
    <w:qFormat/>
    <w:rPr>
      <w:sz w:val="28"/>
    </w:rPr>
  </w:style>
  <w:style w:type="character" w:styleId="List2Level3">
    <w:name w:val="List2Level3"/>
    <w:qFormat/>
    <w:rPr>
      <w:sz w:val="28"/>
    </w:rPr>
  </w:style>
  <w:style w:type="character" w:styleId="List2Level4">
    <w:name w:val="List2Level4"/>
    <w:qFormat/>
    <w:rPr>
      <w:sz w:val="28"/>
    </w:rPr>
  </w:style>
  <w:style w:type="character" w:styleId="List2Level5">
    <w:name w:val="List2Level5"/>
    <w:qFormat/>
    <w:rPr>
      <w:sz w:val="28"/>
    </w:rPr>
  </w:style>
  <w:style w:type="character" w:styleId="List2Level6">
    <w:name w:val="List2Level6"/>
    <w:qFormat/>
    <w:rPr>
      <w:sz w:val="28"/>
    </w:rPr>
  </w:style>
  <w:style w:type="character" w:styleId="List2Level7">
    <w:name w:val="List2Level7"/>
    <w:qFormat/>
    <w:rPr>
      <w:sz w:val="28"/>
    </w:rPr>
  </w:style>
  <w:style w:type="character" w:styleId="List2Level8">
    <w:name w:val="List2Level8"/>
    <w:qFormat/>
    <w:rPr>
      <w:sz w:val="28"/>
    </w:rPr>
  </w:style>
  <w:style w:type="character" w:styleId="List3Level0">
    <w:name w:val="List3Level0"/>
    <w:qFormat/>
    <w:rPr>
      <w:rFonts w:ascii="PT Astra Serif" w:hAnsi="PT Astra Serif"/>
    </w:rPr>
  </w:style>
  <w:style w:type="character" w:styleId="List3Level1">
    <w:name w:val="List3Level1"/>
    <w:qFormat/>
    <w:rPr>
      <w:sz w:val="28"/>
    </w:rPr>
  </w:style>
  <w:style w:type="character" w:styleId="List3Level2">
    <w:name w:val="List3Level2"/>
    <w:qFormat/>
    <w:rPr>
      <w:sz w:val="28"/>
    </w:rPr>
  </w:style>
  <w:style w:type="character" w:styleId="List3Level3">
    <w:name w:val="List3Level3"/>
    <w:qFormat/>
    <w:rPr>
      <w:sz w:val="28"/>
    </w:rPr>
  </w:style>
  <w:style w:type="character" w:styleId="List3Level4">
    <w:name w:val="List3Level4"/>
    <w:qFormat/>
    <w:rPr>
      <w:sz w:val="28"/>
    </w:rPr>
  </w:style>
  <w:style w:type="character" w:styleId="List3Level5">
    <w:name w:val="List3Level5"/>
    <w:qFormat/>
    <w:rPr>
      <w:sz w:val="28"/>
    </w:rPr>
  </w:style>
  <w:style w:type="character" w:styleId="List3Level6">
    <w:name w:val="List3Level6"/>
    <w:qFormat/>
    <w:rPr>
      <w:sz w:val="28"/>
    </w:rPr>
  </w:style>
  <w:style w:type="character" w:styleId="List3Level7">
    <w:name w:val="List3Level7"/>
    <w:qFormat/>
    <w:rPr>
      <w:sz w:val="28"/>
    </w:rPr>
  </w:style>
  <w:style w:type="character" w:styleId="List3Level8">
    <w:name w:val="List3Level8"/>
    <w:qFormat/>
    <w:rPr>
      <w:sz w:val="28"/>
    </w:rPr>
  </w:style>
  <w:style w:type="character" w:styleId="List4Level0">
    <w:name w:val="List4Level0"/>
    <w:qFormat/>
    <w:rPr>
      <w:rFonts w:ascii="PT Astra Serif" w:hAnsi="PT Astra Serif"/>
    </w:rPr>
  </w:style>
  <w:style w:type="character" w:styleId="List4Level1">
    <w:name w:val="List4Level1"/>
    <w:qFormat/>
    <w:rPr/>
  </w:style>
  <w:style w:type="character" w:styleId="List4Level2">
    <w:name w:val="List4Level2"/>
    <w:qFormat/>
    <w:rPr>
      <w:rFonts w:ascii="PT Astra Serif" w:hAnsi="PT Astra Serif"/>
    </w:rPr>
  </w:style>
  <w:style w:type="character" w:styleId="List4Level3">
    <w:name w:val="List4Level3"/>
    <w:qFormat/>
    <w:rPr/>
  </w:style>
  <w:style w:type="character" w:styleId="List4Level4">
    <w:name w:val="List4Level4"/>
    <w:qFormat/>
    <w:rPr/>
  </w:style>
  <w:style w:type="character" w:styleId="List4Level5">
    <w:name w:val="List4Level5"/>
    <w:qFormat/>
    <w:rPr/>
  </w:style>
  <w:style w:type="character" w:styleId="List4Level6">
    <w:name w:val="List4Level6"/>
    <w:qFormat/>
    <w:rPr/>
  </w:style>
  <w:style w:type="character" w:styleId="List4Level7">
    <w:name w:val="List4Level7"/>
    <w:qFormat/>
    <w:rPr/>
  </w:style>
  <w:style w:type="character" w:styleId="List4Level8">
    <w:name w:val="List4Level8"/>
    <w:qFormat/>
    <w:rPr/>
  </w:style>
  <w:style w:type="character" w:styleId="List5Level0">
    <w:name w:val="List5Level0"/>
    <w:qFormat/>
    <w:rPr>
      <w:sz w:val="28"/>
    </w:rPr>
  </w:style>
  <w:style w:type="character" w:styleId="List6Level0">
    <w:name w:val="List6Level0"/>
    <w:qFormat/>
    <w:rPr>
      <w:rFonts w:ascii="Times New Roman" w:hAnsi="Times New Roman"/>
    </w:rPr>
  </w:style>
  <w:style w:type="character" w:styleId="List7Level0">
    <w:name w:val="List7Level0"/>
    <w:qFormat/>
    <w:rPr>
      <w:rFonts w:ascii="Times New Roman" w:hAnsi="Times New Roman"/>
      <w:color w:val="000000"/>
    </w:rPr>
  </w:style>
  <w:style w:type="character" w:styleId="List5Level1">
    <w:name w:val="List5Level1"/>
    <w:qFormat/>
    <w:rPr/>
  </w:style>
  <w:style w:type="character" w:styleId="List5Level2">
    <w:name w:val="List5Level2"/>
    <w:qFormat/>
    <w:rPr/>
  </w:style>
  <w:style w:type="character" w:styleId="List5Level3">
    <w:name w:val="List5Level3"/>
    <w:qFormat/>
    <w:rPr/>
  </w:style>
  <w:style w:type="character" w:styleId="List5Level4">
    <w:name w:val="List5Level4"/>
    <w:qFormat/>
    <w:rPr/>
  </w:style>
  <w:style w:type="character" w:styleId="List5Level5">
    <w:name w:val="List5Level5"/>
    <w:qFormat/>
    <w:rPr/>
  </w:style>
  <w:style w:type="character" w:styleId="List5Level6">
    <w:name w:val="List5Level6"/>
    <w:qFormat/>
    <w:rPr/>
  </w:style>
  <w:style w:type="character" w:styleId="List5Level7">
    <w:name w:val="List5Level7"/>
    <w:qFormat/>
    <w:rPr/>
  </w:style>
  <w:style w:type="character" w:styleId="List5Level8">
    <w:name w:val="List5Level8"/>
    <w:qFormat/>
    <w:rPr/>
  </w:style>
  <w:style w:type="character" w:styleId="List6Level1">
    <w:name w:val="List6Level1"/>
    <w:qFormat/>
    <w:rPr/>
  </w:style>
  <w:style w:type="character" w:styleId="List6Level2">
    <w:name w:val="List6Level2"/>
    <w:qFormat/>
    <w:rPr/>
  </w:style>
  <w:style w:type="character" w:styleId="List6Level3">
    <w:name w:val="List6Level3"/>
    <w:qFormat/>
    <w:rPr/>
  </w:style>
  <w:style w:type="character" w:styleId="List6Level4">
    <w:name w:val="List6Level4"/>
    <w:qFormat/>
    <w:rPr/>
  </w:style>
  <w:style w:type="character" w:styleId="List6Level5">
    <w:name w:val="List6Level5"/>
    <w:qFormat/>
    <w:rPr/>
  </w:style>
  <w:style w:type="character" w:styleId="List6Level6">
    <w:name w:val="List6Level6"/>
    <w:qFormat/>
    <w:rPr/>
  </w:style>
  <w:style w:type="character" w:styleId="List6Level7">
    <w:name w:val="List6Level7"/>
    <w:qFormat/>
    <w:rPr/>
  </w:style>
  <w:style w:type="character" w:styleId="List6Level8">
    <w:name w:val="List6Level8"/>
    <w:qFormat/>
    <w:rPr/>
  </w:style>
  <w:style w:type="character" w:styleId="List7Level1">
    <w:name w:val="List7Level1"/>
    <w:qFormat/>
    <w:rPr/>
  </w:style>
  <w:style w:type="character" w:styleId="List7Level2">
    <w:name w:val="List7Level2"/>
    <w:qFormat/>
    <w:rPr/>
  </w:style>
  <w:style w:type="character" w:styleId="List7Level3">
    <w:name w:val="List7Level3"/>
    <w:qFormat/>
    <w:rPr/>
  </w:style>
  <w:style w:type="character" w:styleId="List7Level4">
    <w:name w:val="List7Level4"/>
    <w:qFormat/>
    <w:rPr/>
  </w:style>
  <w:style w:type="character" w:styleId="List7Level5">
    <w:name w:val="List7Level5"/>
    <w:qFormat/>
    <w:rPr/>
  </w:style>
  <w:style w:type="character" w:styleId="List7Level6">
    <w:name w:val="List7Level6"/>
    <w:qFormat/>
    <w:rPr/>
  </w:style>
  <w:style w:type="character" w:styleId="List7Level7">
    <w:name w:val="List7Level7"/>
    <w:qFormat/>
    <w:rPr/>
  </w:style>
  <w:style w:type="character" w:styleId="List7Level8">
    <w:name w:val="List7Level8"/>
    <w:qFormat/>
    <w:rPr/>
  </w:style>
  <w:style w:type="character" w:styleId="List8Level0">
    <w:name w:val="List8Level0"/>
    <w:qFormat/>
    <w:rPr/>
  </w:style>
  <w:style w:type="character" w:styleId="List8Level1">
    <w:name w:val="List8Level1"/>
    <w:qFormat/>
    <w:rPr/>
  </w:style>
  <w:style w:type="character" w:styleId="List8Level2">
    <w:name w:val="List8Level2"/>
    <w:qFormat/>
    <w:rPr/>
  </w:style>
  <w:style w:type="character" w:styleId="List8Level3">
    <w:name w:val="List8Level3"/>
    <w:qFormat/>
    <w:rPr/>
  </w:style>
  <w:style w:type="character" w:styleId="List8Level4">
    <w:name w:val="List8Level4"/>
    <w:qFormat/>
    <w:rPr/>
  </w:style>
  <w:style w:type="character" w:styleId="List8Level5">
    <w:name w:val="List8Level5"/>
    <w:qFormat/>
    <w:rPr/>
  </w:style>
  <w:style w:type="character" w:styleId="List8Level6">
    <w:name w:val="List8Level6"/>
    <w:qFormat/>
    <w:rPr/>
  </w:style>
  <w:style w:type="character" w:styleId="List8Level7">
    <w:name w:val="List8Level7"/>
    <w:qFormat/>
    <w:rPr/>
  </w:style>
  <w:style w:type="character" w:styleId="List8Level8">
    <w:name w:val="List8Level8"/>
    <w:qFormat/>
    <w:rPr/>
  </w:style>
  <w:style w:type="character" w:styleId="Style30">
    <w:name w:val="Цветовое выделение"/>
    <w:qFormat/>
    <w:rPr>
      <w:b/>
      <w:color w:val="000080"/>
    </w:rPr>
  </w:style>
  <w:style w:type="character" w:styleId="user2">
    <w:name w:val="Маркеры (user)"/>
    <w:qFormat/>
    <w:rPr>
      <w:rFonts w:ascii="OpenSymbol" w:hAnsi="OpenSymbol"/>
    </w:rPr>
  </w:style>
  <w:style w:type="paragraph" w:styleId="Style31">
    <w:name w:val="Заголовок"/>
    <w:basedOn w:val="LO-Normal"/>
    <w:next w:val="BodyText"/>
    <w:qFormat/>
    <w:pPr/>
    <w:rPr>
      <w:b/>
    </w:rPr>
  </w:style>
  <w:style w:type="paragraph" w:styleId="BodyText">
    <w:name w:val="Body Text"/>
    <w:basedOn w:val="Normal"/>
    <w:pPr>
      <w:spacing w:lineRule="auto" w:line="276" w:beforeAutospacing="0" w:before="0" w:afterAutospacing="0" w:after="140"/>
    </w:pPr>
    <w:rPr/>
  </w:style>
  <w:style w:type="paragraph" w:styleId="List">
    <w:name w:val="List"/>
    <w:basedOn w:val="BodyText1"/>
    <w:pPr/>
    <w:rPr/>
  </w:style>
  <w:style w:type="paragraph" w:styleId="Caption">
    <w:name w:val="caption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user3">
    <w:name w:val="Заголовок (user)"/>
    <w:basedOn w:val="Normal"/>
    <w:next w:val="BodyText"/>
    <w:qFormat/>
    <w:pPr>
      <w:keepNext w:val="true"/>
      <w:spacing w:beforeAutospacing="0" w:before="240" w:afterAutospacing="0" w:after="120"/>
    </w:pPr>
    <w:rPr>
      <w:rFonts w:ascii="PT Astra Serif" w:hAnsi="PT Astra Serif"/>
      <w:sz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/>
    </w:rPr>
  </w:style>
  <w:style w:type="paragraph" w:styleId="NoSpacing">
    <w:name w:val="No Spacing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0"/>
      <w:sz w:val="20"/>
      <w:szCs w:val="20"/>
      <w:u w:val="none"/>
      <w:vertAlign w:val="baseline"/>
      <w:lang w:val="ru-RU" w:eastAsia="zh-CN" w:bidi="hi-IN"/>
    </w:rPr>
  </w:style>
  <w:style w:type="paragraph" w:styleId="Title">
    <w:name w:val="Title"/>
    <w:basedOn w:val="Normal"/>
    <w:next w:val="Normal"/>
    <w:qFormat/>
    <w:pPr>
      <w:spacing w:beforeAutospacing="0" w:before="300" w:afterAutospacing="0" w:after="200"/>
      <w:contextualSpacing/>
    </w:pPr>
    <w:rPr>
      <w:sz w:val="48"/>
    </w:rPr>
  </w:style>
  <w:style w:type="paragraph" w:styleId="Quote">
    <w:name w:val="Quote"/>
    <w:basedOn w:val="Normal"/>
    <w:next w:val="Normal"/>
    <w:link w:val="2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IndexHeading">
    <w:name w:val="index heading"/>
    <w:basedOn w:val="Style31"/>
    <w:pPr>
      <w:suppressLineNumbers/>
    </w:pPr>
    <w:rPr>
      <w:sz w:val="32"/>
    </w:rPr>
  </w:style>
  <w:style w:type="paragraph" w:styleId="TOCHeading">
    <w:name w:val="TOC Heading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0"/>
      <w:sz w:val="20"/>
      <w:szCs w:val="20"/>
      <w:u w:val="none"/>
      <w:vertAlign w:val="baseline"/>
      <w:lang w:val="ru-RU" w:eastAsia="zh-CN" w:bidi="hi-IN"/>
    </w:rPr>
  </w:style>
  <w:style w:type="paragraph" w:styleId="LO-Normal">
    <w:name w:val="LO-Normal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PT Astra Serif" w:hAnsi="PT Astra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0"/>
      <w:u w:val="none"/>
      <w:vertAlign w:val="baseline"/>
      <w:lang w:val="ru-RU" w:eastAsia="zh-CN" w:bidi="hi-IN"/>
    </w:rPr>
  </w:style>
  <w:style w:type="paragraph" w:styleId="BodyText1">
    <w:name w:val="Body Text1"/>
    <w:basedOn w:val="LO-Normal"/>
    <w:qFormat/>
    <w:pPr>
      <w:jc w:val="both"/>
    </w:pPr>
    <w:rPr/>
  </w:style>
  <w:style w:type="paragraph" w:styleId="caption1">
    <w:name w:val="caption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">
    <w:name w:val="caption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">
    <w:name w:val="caption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">
    <w:name w:val="caption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">
    <w:name w:val="Caption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">
    <w:name w:val="Caption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12">
    <w:name w:val="Указатель1"/>
    <w:basedOn w:val="Normal"/>
    <w:qFormat/>
    <w:pPr>
      <w:suppressLineNumbers/>
    </w:pPr>
    <w:rPr/>
  </w:style>
  <w:style w:type="paragraph" w:styleId="Caption1111111">
    <w:name w:val="Caption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">
    <w:name w:val="Caption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">
    <w:name w:val="Caption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">
    <w:name w:val="Caption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">
    <w:name w:val="Caption1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1">
    <w:name w:val="Caption11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11">
    <w:name w:val="Caption111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111">
    <w:name w:val="Caption11111111111111"/>
    <w:basedOn w:val="Normal"/>
    <w:qFormat/>
    <w:pPr>
      <w:suppressLineNumbers/>
      <w:spacing w:beforeAutospacing="0" w:before="120" w:afterAutospacing="0" w:after="120"/>
    </w:pPr>
    <w:rPr>
      <w:i/>
      <w:sz w:val="20"/>
    </w:rPr>
  </w:style>
  <w:style w:type="paragraph" w:styleId="13">
    <w:name w:val="Нет списка1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Heading11">
    <w:name w:val="Heading 11"/>
    <w:basedOn w:val="Style31"/>
    <w:qFormat/>
    <w:pPr>
      <w:numPr>
        <w:ilvl w:val="0"/>
        <w:numId w:val="3"/>
      </w:numPr>
      <w:outlineLvl w:val="0"/>
    </w:pPr>
    <w:rPr/>
  </w:style>
  <w:style w:type="paragraph" w:styleId="Style33">
    <w:name w:val="Основной текст с отступом Знак"/>
    <w:basedOn w:val="LO-Normal"/>
    <w:qFormat/>
    <w:pPr/>
    <w:rPr/>
  </w:style>
  <w:style w:type="paragraph" w:styleId="Indexheading1">
    <w:name w:val="Index heading1"/>
    <w:basedOn w:val="LO-Normal"/>
    <w:qFormat/>
    <w:pPr>
      <w:jc w:val="left"/>
    </w:pPr>
    <w:rPr/>
  </w:style>
  <w:style w:type="paragraph" w:styleId="Style34">
    <w:name w:val="Блочная цитата"/>
    <w:basedOn w:val="LO-Normal"/>
    <w:qFormat/>
    <w:pPr/>
    <w:rPr/>
  </w:style>
  <w:style w:type="paragraph" w:styleId="Title1">
    <w:name w:val="Title1"/>
    <w:basedOn w:val="LO-Normal"/>
    <w:next w:val="BodyText"/>
    <w:qFormat/>
    <w:pPr>
      <w:spacing w:beforeAutospacing="0" w:before="0" w:afterAutospacing="0" w:after="170"/>
    </w:pPr>
    <w:rPr>
      <w:b/>
    </w:rPr>
  </w:style>
  <w:style w:type="paragraph" w:styleId="Subtitle">
    <w:name w:val="Subtitle"/>
    <w:basedOn w:val="LO-Normal"/>
    <w:next w:val="BodyText"/>
    <w:qFormat/>
    <w:pPr>
      <w:ind w:left="709"/>
      <w:jc w:val="both"/>
    </w:pPr>
    <w:rPr>
      <w:b/>
    </w:rPr>
  </w:style>
  <w:style w:type="paragraph" w:styleId="BodyTextIndent">
    <w:name w:val="Body Text Indent"/>
    <w:basedOn w:val="BodyText1"/>
    <w:pPr/>
    <w:rPr/>
  </w:style>
  <w:style w:type="paragraph" w:styleId="Style35">
    <w:name w:val="Обратный отступ"/>
    <w:basedOn w:val="BodyText1"/>
    <w:qFormat/>
    <w:pPr>
      <w:tabs>
        <w:tab w:val="clear" w:pos="720"/>
        <w:tab w:val="left" w:pos="0" w:leader="none"/>
      </w:tabs>
    </w:pPr>
    <w:rPr/>
  </w:style>
  <w:style w:type="paragraph" w:styleId="Salutation1">
    <w:name w:val="Salutation1"/>
    <w:basedOn w:val="LO-Normal"/>
    <w:qFormat/>
    <w:pPr/>
    <w:rPr/>
  </w:style>
  <w:style w:type="paragraph" w:styleId="Signature">
    <w:name w:val="Signature"/>
    <w:basedOn w:val="LO-Normal"/>
    <w:pPr>
      <w:tabs>
        <w:tab w:val="clear" w:pos="720"/>
        <w:tab w:val="right" w:pos="31680" w:leader="none"/>
      </w:tabs>
      <w:jc w:val="left"/>
    </w:pPr>
    <w:rPr/>
  </w:style>
  <w:style w:type="paragraph" w:styleId="Style36">
    <w:name w:val="Отступы"/>
    <w:basedOn w:val="BodyText1"/>
    <w:qFormat/>
    <w:pPr>
      <w:tabs>
        <w:tab w:val="clear" w:pos="720"/>
        <w:tab w:val="left" w:pos="0" w:leader="none"/>
      </w:tabs>
    </w:pPr>
    <w:rPr/>
  </w:style>
  <w:style w:type="paragraph" w:styleId="CommentText">
    <w:name w:val="annotation text"/>
    <w:basedOn w:val="BodyText1"/>
    <w:pPr/>
    <w:rPr/>
  </w:style>
  <w:style w:type="paragraph" w:styleId="10">
    <w:name w:val="Заголовок 10"/>
    <w:basedOn w:val="Style31"/>
    <w:next w:val="BodyText"/>
    <w:qFormat/>
    <w:pPr>
      <w:numPr>
        <w:ilvl w:val="0"/>
        <w:numId w:val="2"/>
      </w:numPr>
    </w:pPr>
    <w:rPr/>
  </w:style>
  <w:style w:type="paragraph" w:styleId="14">
    <w:name w:val="Начало нумерованного списка 1"/>
    <w:basedOn w:val="List"/>
    <w:qFormat/>
    <w:pPr/>
    <w:rPr/>
  </w:style>
  <w:style w:type="paragraph" w:styleId="15">
    <w:name w:val="Нумерованный список 1"/>
    <w:basedOn w:val="List"/>
    <w:qFormat/>
    <w:pPr>
      <w:spacing w:beforeAutospacing="0" w:before="0" w:afterAutospacing="0" w:after="120"/>
      <w:ind w:hanging="360" w:left="360"/>
    </w:pPr>
    <w:rPr/>
  </w:style>
  <w:style w:type="paragraph" w:styleId="ListBullet4">
    <w:name w:val="List Bullet 4"/>
    <w:basedOn w:val="List"/>
    <w:pPr/>
    <w:rPr/>
  </w:style>
  <w:style w:type="paragraph" w:styleId="16">
    <w:name w:val="Конец нумерованного списка 1"/>
    <w:basedOn w:val="List"/>
    <w:qFormat/>
    <w:pPr/>
    <w:rPr/>
  </w:style>
  <w:style w:type="paragraph" w:styleId="17">
    <w:name w:val="Продолжение нумерованного списка 1"/>
    <w:basedOn w:val="List"/>
    <w:qFormat/>
    <w:pPr/>
    <w:rPr/>
  </w:style>
  <w:style w:type="paragraph" w:styleId="23">
    <w:name w:val="Начало нумерованного списка 2"/>
    <w:basedOn w:val="List"/>
    <w:qFormat/>
    <w:pPr/>
    <w:rPr/>
  </w:style>
  <w:style w:type="paragraph" w:styleId="211">
    <w:name w:val="Нумерованный список 21"/>
    <w:basedOn w:val="List"/>
    <w:qFormat/>
    <w:pPr>
      <w:spacing w:beforeAutospacing="0" w:before="0" w:afterAutospacing="0" w:after="120"/>
      <w:ind w:hanging="360" w:left="720"/>
    </w:pPr>
    <w:rPr/>
  </w:style>
  <w:style w:type="paragraph" w:styleId="ListNumber2">
    <w:name w:val="List Number 2"/>
    <w:basedOn w:val="List"/>
    <w:pPr/>
    <w:rPr/>
  </w:style>
  <w:style w:type="paragraph" w:styleId="24">
    <w:name w:val="Конец нумерованного списка 2"/>
    <w:basedOn w:val="List"/>
    <w:qFormat/>
    <w:pPr/>
    <w:rPr/>
  </w:style>
  <w:style w:type="paragraph" w:styleId="25">
    <w:name w:val="Продолжение нумерованного списка 2"/>
    <w:basedOn w:val="List"/>
    <w:qFormat/>
    <w:pPr/>
    <w:rPr/>
  </w:style>
  <w:style w:type="paragraph" w:styleId="3">
    <w:name w:val="Начало нумерованного списка 3"/>
    <w:basedOn w:val="List"/>
    <w:link w:val="21"/>
    <w:qFormat/>
    <w:pPr/>
    <w:rPr/>
  </w:style>
  <w:style w:type="paragraph" w:styleId="31">
    <w:name w:val="Нумерованный список 31"/>
    <w:basedOn w:val="List"/>
    <w:qFormat/>
    <w:pPr>
      <w:spacing w:beforeAutospacing="0" w:before="0" w:afterAutospacing="0" w:after="120"/>
      <w:ind w:hanging="360" w:left="1080"/>
    </w:pPr>
    <w:rPr/>
  </w:style>
  <w:style w:type="paragraph" w:styleId="ListNumber3">
    <w:name w:val="List Number 3"/>
    <w:basedOn w:val="List"/>
    <w:pPr/>
    <w:rPr/>
  </w:style>
  <w:style w:type="paragraph" w:styleId="32">
    <w:name w:val="Конец нумерованного списка 3"/>
    <w:basedOn w:val="List"/>
    <w:qFormat/>
    <w:pPr/>
    <w:rPr/>
  </w:style>
  <w:style w:type="paragraph" w:styleId="33">
    <w:name w:val="Продолжение нумерованного списка 3"/>
    <w:basedOn w:val="List"/>
    <w:qFormat/>
    <w:pPr/>
    <w:rPr/>
  </w:style>
  <w:style w:type="paragraph" w:styleId="4">
    <w:name w:val="Начало нумерованного списка 4"/>
    <w:basedOn w:val="List"/>
    <w:qFormat/>
    <w:pPr/>
    <w:rPr/>
  </w:style>
  <w:style w:type="paragraph" w:styleId="41">
    <w:name w:val="Нумерованный список 41"/>
    <w:basedOn w:val="List"/>
    <w:qFormat/>
    <w:pPr>
      <w:spacing w:beforeAutospacing="0" w:before="0" w:afterAutospacing="0" w:after="120"/>
      <w:ind w:hanging="360" w:left="1440"/>
    </w:pPr>
    <w:rPr/>
  </w:style>
  <w:style w:type="paragraph" w:styleId="ListNumber4">
    <w:name w:val="List Number 4"/>
    <w:basedOn w:val="List"/>
    <w:pPr/>
    <w:rPr/>
  </w:style>
  <w:style w:type="paragraph" w:styleId="42">
    <w:name w:val="Конец нумерованного списка 4"/>
    <w:basedOn w:val="List"/>
    <w:qFormat/>
    <w:pPr/>
    <w:rPr/>
  </w:style>
  <w:style w:type="paragraph" w:styleId="43">
    <w:name w:val="Продолжение нумерованного списка 4"/>
    <w:basedOn w:val="List"/>
    <w:qFormat/>
    <w:pPr/>
    <w:rPr/>
  </w:style>
  <w:style w:type="paragraph" w:styleId="5">
    <w:name w:val="Начало нумерованного списка 5"/>
    <w:basedOn w:val="List"/>
    <w:qFormat/>
    <w:pPr/>
    <w:rPr/>
  </w:style>
  <w:style w:type="paragraph" w:styleId="51">
    <w:name w:val="Нумерованный список 51"/>
    <w:basedOn w:val="List"/>
    <w:qFormat/>
    <w:pPr>
      <w:spacing w:beforeAutospacing="0" w:before="0" w:afterAutospacing="0" w:after="120"/>
      <w:ind w:hanging="360" w:left="1800"/>
    </w:pPr>
    <w:rPr/>
  </w:style>
  <w:style w:type="paragraph" w:styleId="ListNumber5">
    <w:name w:val="List Number 5"/>
    <w:basedOn w:val="List"/>
    <w:pPr/>
    <w:rPr/>
  </w:style>
  <w:style w:type="paragraph" w:styleId="52">
    <w:name w:val="Конец нумерованного списка 5"/>
    <w:basedOn w:val="List"/>
    <w:qFormat/>
    <w:pPr/>
    <w:rPr/>
  </w:style>
  <w:style w:type="paragraph" w:styleId="53">
    <w:name w:val="Продолжение нумерованного списка 5"/>
    <w:basedOn w:val="List"/>
    <w:qFormat/>
    <w:pPr/>
    <w:rPr/>
  </w:style>
  <w:style w:type="paragraph" w:styleId="Style37">
    <w:name w:val="Продолжение списка Знак"/>
    <w:basedOn w:val="List"/>
    <w:qFormat/>
    <w:pPr/>
    <w:rPr/>
  </w:style>
  <w:style w:type="paragraph" w:styleId="ListBullet3">
    <w:name w:val="List Bullet 3"/>
    <w:basedOn w:val="List"/>
    <w:pPr/>
    <w:rPr/>
  </w:style>
  <w:style w:type="paragraph" w:styleId="18">
    <w:name w:val="Конец маркированного списка 1"/>
    <w:basedOn w:val="List"/>
    <w:qFormat/>
    <w:pPr/>
    <w:rPr/>
  </w:style>
  <w:style w:type="paragraph" w:styleId="ListContinue">
    <w:name w:val="List Continue"/>
    <w:basedOn w:val="List"/>
    <w:pPr/>
    <w:rPr/>
  </w:style>
  <w:style w:type="paragraph" w:styleId="26">
    <w:name w:val="Начало маркированного списка 2"/>
    <w:basedOn w:val="List"/>
    <w:qFormat/>
    <w:pPr/>
    <w:rPr/>
  </w:style>
  <w:style w:type="paragraph" w:styleId="27">
    <w:name w:val="Конец маркированного списка 2"/>
    <w:basedOn w:val="List"/>
    <w:qFormat/>
    <w:pPr/>
    <w:rPr/>
  </w:style>
  <w:style w:type="paragraph" w:styleId="ListContinue2">
    <w:name w:val="List Continue 2"/>
    <w:basedOn w:val="List"/>
    <w:pPr/>
    <w:rPr/>
  </w:style>
  <w:style w:type="paragraph" w:styleId="34">
    <w:name w:val="Начало маркированного списка 3"/>
    <w:basedOn w:val="List"/>
    <w:qFormat/>
    <w:pPr/>
    <w:rPr/>
  </w:style>
  <w:style w:type="paragraph" w:styleId="35">
    <w:name w:val="Конец маркированного списка 3"/>
    <w:basedOn w:val="List"/>
    <w:qFormat/>
    <w:pPr/>
    <w:rPr/>
  </w:style>
  <w:style w:type="paragraph" w:styleId="ListContinue3">
    <w:name w:val="List Continue 3"/>
    <w:basedOn w:val="List"/>
    <w:pPr/>
    <w:rPr/>
  </w:style>
  <w:style w:type="paragraph" w:styleId="44">
    <w:name w:val="Начало маркированного списка 4"/>
    <w:basedOn w:val="List"/>
    <w:qFormat/>
    <w:pPr/>
    <w:rPr/>
  </w:style>
  <w:style w:type="paragraph" w:styleId="ListBullet5">
    <w:name w:val="List Bullet 5"/>
    <w:basedOn w:val="List"/>
    <w:pPr/>
    <w:rPr/>
  </w:style>
  <w:style w:type="paragraph" w:styleId="45">
    <w:name w:val="Конец маркированного списка 4"/>
    <w:basedOn w:val="List"/>
    <w:qFormat/>
    <w:pPr/>
    <w:rPr/>
  </w:style>
  <w:style w:type="paragraph" w:styleId="ListContinue4">
    <w:name w:val="List Continue 4"/>
    <w:basedOn w:val="List"/>
    <w:pPr/>
    <w:rPr/>
  </w:style>
  <w:style w:type="paragraph" w:styleId="54">
    <w:name w:val="Начало маркированного списка 5"/>
    <w:basedOn w:val="List"/>
    <w:qFormat/>
    <w:pPr/>
    <w:rPr/>
  </w:style>
  <w:style w:type="paragraph" w:styleId="ListNumber">
    <w:name w:val="List Number"/>
    <w:basedOn w:val="List"/>
    <w:pPr/>
    <w:rPr/>
  </w:style>
  <w:style w:type="paragraph" w:styleId="55">
    <w:name w:val="Конец маркированного списка 5"/>
    <w:basedOn w:val="List"/>
    <w:qFormat/>
    <w:pPr/>
    <w:rPr/>
  </w:style>
  <w:style w:type="paragraph" w:styleId="ListContinue5">
    <w:name w:val="List Continue 5"/>
    <w:basedOn w:val="List"/>
    <w:pPr/>
    <w:rPr/>
  </w:style>
  <w:style w:type="paragraph" w:styleId="IndexHeading0">
    <w:name w:val="Index Heading_0"/>
    <w:basedOn w:val="Style31"/>
    <w:qFormat/>
    <w:pPr/>
    <w:rPr/>
  </w:style>
  <w:style w:type="paragraph" w:styleId="Index1">
    <w:name w:val="index 1"/>
    <w:basedOn w:val="Indexheading1"/>
    <w:pPr/>
    <w:rPr/>
  </w:style>
  <w:style w:type="paragraph" w:styleId="Index2">
    <w:name w:val="index 2"/>
    <w:basedOn w:val="Indexheading1"/>
    <w:pPr/>
    <w:rPr/>
  </w:style>
  <w:style w:type="paragraph" w:styleId="Index3">
    <w:name w:val="index 3"/>
    <w:basedOn w:val="Indexheading1"/>
    <w:pPr/>
    <w:rPr/>
  </w:style>
  <w:style w:type="paragraph" w:styleId="Style38">
    <w:name w:val="Разделитель предметного указателя"/>
    <w:basedOn w:val="Indexheading1"/>
    <w:qFormat/>
    <w:pPr/>
    <w:rPr/>
  </w:style>
  <w:style w:type="paragraph" w:styleId="TOAHeading">
    <w:name w:val="TOA Heading"/>
    <w:basedOn w:val="Style31"/>
    <w:qFormat/>
    <w:pPr/>
    <w:rPr/>
  </w:style>
  <w:style w:type="paragraph" w:styleId="TOC1">
    <w:name w:val="toc 1"/>
    <w:basedOn w:val="Indexheading1"/>
    <w:pPr>
      <w:tabs>
        <w:tab w:val="clear" w:pos="720"/>
        <w:tab w:val="right" w:pos="9638" w:leader="dot"/>
      </w:tabs>
    </w:pPr>
    <w:rPr/>
  </w:style>
  <w:style w:type="paragraph" w:styleId="TOC2">
    <w:name w:val="toc 2"/>
    <w:basedOn w:val="Indexheading1"/>
    <w:pPr>
      <w:tabs>
        <w:tab w:val="clear" w:pos="720"/>
        <w:tab w:val="right" w:pos="9355" w:leader="dot"/>
      </w:tabs>
    </w:pPr>
    <w:rPr/>
  </w:style>
  <w:style w:type="paragraph" w:styleId="TOC3">
    <w:name w:val="toc 3"/>
    <w:basedOn w:val="Indexheading1"/>
    <w:pPr>
      <w:tabs>
        <w:tab w:val="clear" w:pos="720"/>
        <w:tab w:val="right" w:pos="9072" w:leader="dot"/>
      </w:tabs>
    </w:pPr>
    <w:rPr/>
  </w:style>
  <w:style w:type="paragraph" w:styleId="TOC4">
    <w:name w:val="toc 4"/>
    <w:basedOn w:val="Indexheading1"/>
    <w:pPr>
      <w:tabs>
        <w:tab w:val="clear" w:pos="720"/>
        <w:tab w:val="right" w:pos="8789" w:leader="dot"/>
      </w:tabs>
    </w:pPr>
    <w:rPr/>
  </w:style>
  <w:style w:type="paragraph" w:styleId="TOC5">
    <w:name w:val="toc 5"/>
    <w:basedOn w:val="Indexheading1"/>
    <w:pPr>
      <w:tabs>
        <w:tab w:val="clear" w:pos="720"/>
        <w:tab w:val="right" w:pos="8506" w:leader="dot"/>
      </w:tabs>
    </w:pPr>
    <w:rPr/>
  </w:style>
  <w:style w:type="paragraph" w:styleId="Style39">
    <w:name w:val="Заголовок указателей пользователя"/>
    <w:basedOn w:val="Style31"/>
    <w:qFormat/>
    <w:pPr/>
    <w:rPr/>
  </w:style>
  <w:style w:type="paragraph" w:styleId="19">
    <w:name w:val="Указатель пользователя 1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28">
    <w:name w:val="Указатель пользователя 2"/>
    <w:basedOn w:val="Indexheading1"/>
    <w:qFormat/>
    <w:pPr>
      <w:tabs>
        <w:tab w:val="clear" w:pos="720"/>
        <w:tab w:val="right" w:pos="9355" w:leader="dot"/>
      </w:tabs>
    </w:pPr>
    <w:rPr/>
  </w:style>
  <w:style w:type="paragraph" w:styleId="36">
    <w:name w:val="Указатель пользователя 3"/>
    <w:basedOn w:val="Indexheading1"/>
    <w:qFormat/>
    <w:pPr>
      <w:tabs>
        <w:tab w:val="clear" w:pos="720"/>
        <w:tab w:val="right" w:pos="9072" w:leader="dot"/>
      </w:tabs>
    </w:pPr>
    <w:rPr/>
  </w:style>
  <w:style w:type="paragraph" w:styleId="46">
    <w:name w:val="Указатель пользователя 4"/>
    <w:basedOn w:val="Indexheading1"/>
    <w:qFormat/>
    <w:pPr>
      <w:tabs>
        <w:tab w:val="clear" w:pos="720"/>
        <w:tab w:val="right" w:pos="8789" w:leader="dot"/>
      </w:tabs>
    </w:pPr>
    <w:rPr/>
  </w:style>
  <w:style w:type="paragraph" w:styleId="56">
    <w:name w:val="Указатель пользователя 5"/>
    <w:basedOn w:val="Indexheading1"/>
    <w:qFormat/>
    <w:pPr>
      <w:tabs>
        <w:tab w:val="clear" w:pos="720"/>
        <w:tab w:val="right" w:pos="8506" w:leader="dot"/>
      </w:tabs>
    </w:pPr>
    <w:rPr/>
  </w:style>
  <w:style w:type="paragraph" w:styleId="TOC6">
    <w:name w:val="toc 6"/>
    <w:basedOn w:val="Indexheading1"/>
    <w:pPr>
      <w:tabs>
        <w:tab w:val="clear" w:pos="720"/>
        <w:tab w:val="right" w:pos="8223" w:leader="dot"/>
      </w:tabs>
    </w:pPr>
    <w:rPr/>
  </w:style>
  <w:style w:type="paragraph" w:styleId="TOC7">
    <w:name w:val="toc 7"/>
    <w:basedOn w:val="Indexheading1"/>
    <w:pPr>
      <w:tabs>
        <w:tab w:val="clear" w:pos="720"/>
        <w:tab w:val="right" w:pos="7940" w:leader="dot"/>
      </w:tabs>
    </w:pPr>
    <w:rPr/>
  </w:style>
  <w:style w:type="paragraph" w:styleId="TOC8">
    <w:name w:val="toc 8"/>
    <w:basedOn w:val="Indexheading1"/>
    <w:pPr>
      <w:tabs>
        <w:tab w:val="clear" w:pos="720"/>
        <w:tab w:val="right" w:pos="7657" w:leader="dot"/>
      </w:tabs>
    </w:pPr>
    <w:rPr/>
  </w:style>
  <w:style w:type="paragraph" w:styleId="TOC9">
    <w:name w:val="toc 9"/>
    <w:basedOn w:val="Indexheading1"/>
    <w:pPr>
      <w:tabs>
        <w:tab w:val="clear" w:pos="720"/>
        <w:tab w:val="right" w:pos="7374" w:leader="dot"/>
      </w:tabs>
    </w:pPr>
    <w:rPr/>
  </w:style>
  <w:style w:type="paragraph" w:styleId="101">
    <w:name w:val="Оглавление 10"/>
    <w:basedOn w:val="Indexheading1"/>
    <w:qFormat/>
    <w:pPr>
      <w:tabs>
        <w:tab w:val="clear" w:pos="720"/>
        <w:tab w:val="right" w:pos="7091" w:leader="dot"/>
      </w:tabs>
    </w:pPr>
    <w:rPr/>
  </w:style>
  <w:style w:type="paragraph" w:styleId="IllustrationIndex1">
    <w:name w:val="Illustration Index 1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Style40">
    <w:name w:val="Заголовок списка объектов"/>
    <w:basedOn w:val="Style31"/>
    <w:qFormat/>
    <w:pPr/>
    <w:rPr/>
  </w:style>
  <w:style w:type="paragraph" w:styleId="110">
    <w:name w:val="Список объектов 1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Style41">
    <w:name w:val="Заголовок списка таблиц"/>
    <w:basedOn w:val="Style31"/>
    <w:qFormat/>
    <w:pPr/>
    <w:rPr/>
  </w:style>
  <w:style w:type="paragraph" w:styleId="111">
    <w:name w:val="Список таблиц 1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TableofAuthorities">
    <w:name w:val="table of authorities"/>
    <w:basedOn w:val="Style31"/>
    <w:pPr/>
    <w:rPr/>
  </w:style>
  <w:style w:type="paragraph" w:styleId="112">
    <w:name w:val="Библиография 1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6">
    <w:name w:val="Указатель пользователя 6"/>
    <w:basedOn w:val="Indexheading1"/>
    <w:qFormat/>
    <w:pPr>
      <w:tabs>
        <w:tab w:val="clear" w:pos="720"/>
        <w:tab w:val="right" w:pos="8223" w:leader="dot"/>
      </w:tabs>
    </w:pPr>
    <w:rPr/>
  </w:style>
  <w:style w:type="paragraph" w:styleId="7">
    <w:name w:val="Указатель пользователя 7"/>
    <w:basedOn w:val="Indexheading1"/>
    <w:qFormat/>
    <w:pPr>
      <w:tabs>
        <w:tab w:val="clear" w:pos="720"/>
        <w:tab w:val="right" w:pos="7940" w:leader="dot"/>
      </w:tabs>
    </w:pPr>
    <w:rPr/>
  </w:style>
  <w:style w:type="paragraph" w:styleId="8">
    <w:name w:val="Указатель пользователя 8"/>
    <w:basedOn w:val="Indexheading1"/>
    <w:qFormat/>
    <w:pPr>
      <w:tabs>
        <w:tab w:val="clear" w:pos="720"/>
        <w:tab w:val="right" w:pos="7657" w:leader="dot"/>
      </w:tabs>
    </w:pPr>
    <w:rPr/>
  </w:style>
  <w:style w:type="paragraph" w:styleId="9">
    <w:name w:val="Указатель пользователя 9"/>
    <w:basedOn w:val="Indexheading1"/>
    <w:qFormat/>
    <w:pPr>
      <w:tabs>
        <w:tab w:val="clear" w:pos="720"/>
        <w:tab w:val="right" w:pos="7374" w:leader="dot"/>
      </w:tabs>
    </w:pPr>
    <w:rPr/>
  </w:style>
  <w:style w:type="paragraph" w:styleId="102">
    <w:name w:val="Указатель пользователя 10"/>
    <w:basedOn w:val="Indexheading1"/>
    <w:qFormat/>
    <w:pPr>
      <w:tabs>
        <w:tab w:val="clear" w:pos="720"/>
        <w:tab w:val="right" w:pos="7091" w:leader="dot"/>
      </w:tabs>
    </w:pPr>
    <w:rPr/>
  </w:style>
  <w:style w:type="paragraph" w:styleId="Style42">
    <w:name w:val="Верхний и нижний колонтитулы"/>
    <w:basedOn w:val="LO-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3">
    <w:name w:val="Колонтитул"/>
    <w:basedOn w:val="LO-Normal"/>
    <w:qFormat/>
    <w:pPr/>
    <w:rPr/>
  </w:style>
  <w:style w:type="paragraph" w:styleId="Header1">
    <w:name w:val="Header1"/>
    <w:basedOn w:val="LO-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44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5">
    <w:name w:val="Колонтитулы (user)"/>
    <w:basedOn w:val="Normal"/>
    <w:qFormat/>
    <w:pPr/>
    <w:rPr/>
  </w:style>
  <w:style w:type="paragraph" w:styleId="Header">
    <w:name w:val="header"/>
    <w:basedOn w:val="Style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5">
    <w:name w:val="Верхний колонтитул слева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46">
    <w:name w:val="Верхний колонтитул справа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Footer1">
    <w:name w:val="Footer1"/>
    <w:basedOn w:val="LO-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yle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7">
    <w:name w:val="Нижний колонтитул слева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48">
    <w:name w:val="Нижний колонтитул справа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49">
    <w:name w:val="Содержимое таблицы"/>
    <w:basedOn w:val="LO-Normal"/>
    <w:qFormat/>
    <w:pPr/>
    <w:rPr/>
  </w:style>
  <w:style w:type="paragraph" w:styleId="Style50">
    <w:name w:val="Заголовок таблицы"/>
    <w:basedOn w:val="Style49"/>
    <w:qFormat/>
    <w:pPr/>
    <w:rPr>
      <w:b/>
    </w:rPr>
  </w:style>
  <w:style w:type="paragraph" w:styleId="Style51">
    <w:name w:val="Иллюстрация"/>
    <w:basedOn w:val="Style33"/>
    <w:qFormat/>
    <w:pPr/>
    <w:rPr/>
  </w:style>
  <w:style w:type="paragraph" w:styleId="Style52">
    <w:name w:val="Таблица"/>
    <w:basedOn w:val="Style33"/>
    <w:qFormat/>
    <w:pPr/>
    <w:rPr/>
  </w:style>
  <w:style w:type="paragraph" w:styleId="PlainText">
    <w:name w:val="Plain Text"/>
    <w:basedOn w:val="Style33"/>
    <w:qFormat/>
    <w:pPr/>
    <w:rPr/>
  </w:style>
  <w:style w:type="paragraph" w:styleId="Style53">
    <w:name w:val="Содержимое врезки"/>
    <w:basedOn w:val="LO-Normal"/>
    <w:qFormat/>
    <w:pPr/>
    <w:rPr/>
  </w:style>
  <w:style w:type="paragraph" w:styleId="FootnoteText">
    <w:name w:val="footnote text"/>
    <w:basedOn w:val="LO-Normal"/>
    <w:pPr>
      <w:jc w:val="left"/>
    </w:pPr>
    <w:rPr/>
  </w:style>
  <w:style w:type="paragraph" w:styleId="EnvelopeAddress">
    <w:name w:val="envelope address"/>
    <w:basedOn w:val="LO-Normal"/>
    <w:pPr/>
    <w:rPr/>
  </w:style>
  <w:style w:type="paragraph" w:styleId="EnvelopeReturn">
    <w:name w:val="envelope return"/>
    <w:basedOn w:val="LO-Normal"/>
    <w:pPr/>
    <w:rPr/>
  </w:style>
  <w:style w:type="paragraph" w:styleId="EndnoteText">
    <w:name w:val="endnote text"/>
    <w:basedOn w:val="LO-Normal"/>
    <w:pPr/>
    <w:rPr/>
  </w:style>
  <w:style w:type="paragraph" w:styleId="TableofFigures">
    <w:name w:val="table of figures"/>
    <w:basedOn w:val="Style33"/>
    <w:pPr/>
    <w:rPr/>
  </w:style>
  <w:style w:type="paragraph" w:styleId="Style54">
    <w:name w:val="Текст в заданном формате"/>
    <w:basedOn w:val="LO-Normal"/>
    <w:qFormat/>
    <w:pPr/>
    <w:rPr/>
  </w:style>
  <w:style w:type="paragraph" w:styleId="Style55">
    <w:name w:val="Горизонтальная линия"/>
    <w:basedOn w:val="LO-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Style56">
    <w:name w:val="Содержимое списка"/>
    <w:basedOn w:val="LO-Normal"/>
    <w:qFormat/>
    <w:pPr/>
    <w:rPr/>
  </w:style>
  <w:style w:type="paragraph" w:styleId="Style57">
    <w:name w:val="Заголовок списка"/>
    <w:basedOn w:val="LO-Normal"/>
    <w:next w:val="Style56"/>
    <w:qFormat/>
    <w:pPr/>
    <w:rPr/>
  </w:style>
  <w:style w:type="paragraph" w:styleId="Style58">
    <w:name w:val="Гриф_Экземпляр"/>
    <w:basedOn w:val="LO-Normal"/>
    <w:qFormat/>
    <w:pPr/>
    <w:rPr>
      <w:sz w:val="24"/>
    </w:rPr>
  </w:style>
  <w:style w:type="paragraph" w:styleId="Style59">
    <w:name w:val="Исполнитель документа"/>
    <w:basedOn w:val="LO-Normal"/>
    <w:qFormat/>
    <w:pPr>
      <w:jc w:val="left"/>
    </w:pPr>
    <w:rPr>
      <w:sz w:val="24"/>
    </w:rPr>
  </w:style>
  <w:style w:type="paragraph" w:styleId="Style60">
    <w:name w:val="Заголовок списка иллюстраций"/>
    <w:basedOn w:val="Style31"/>
    <w:qFormat/>
    <w:pPr/>
    <w:rPr/>
  </w:style>
  <w:style w:type="paragraph" w:styleId="113">
    <w:name w:val="Стиль1"/>
    <w:basedOn w:val="LO-Normal"/>
    <w:qFormat/>
    <w:pPr>
      <w:ind w:left="4820" w:right="284"/>
      <w:jc w:val="both"/>
    </w:pPr>
    <w:rPr>
      <w:rFonts w:ascii="Times New Roman" w:hAnsi="Times New Roman"/>
    </w:rPr>
  </w:style>
  <w:style w:type="paragraph" w:styleId="29">
    <w:name w:val="Стиль2"/>
    <w:basedOn w:val="113"/>
    <w:qFormat/>
    <w:pPr>
      <w:ind w:left="0" w:right="-567"/>
    </w:pPr>
    <w:rPr/>
  </w:style>
  <w:style w:type="paragraph" w:styleId="37">
    <w:name w:val="Стиль3"/>
    <w:basedOn w:val="LO-Normal"/>
    <w:qFormat/>
    <w:pPr>
      <w:jc w:val="both"/>
    </w:pPr>
    <w:rPr>
      <w:rFonts w:ascii="Times New Roman" w:hAnsi="Times New Roman"/>
    </w:rPr>
  </w:style>
  <w:style w:type="paragraph" w:styleId="BalloonText">
    <w:name w:val="Balloon Text"/>
    <w:basedOn w:val="LO-Normal"/>
    <w:qFormat/>
    <w:pPr/>
    <w:rPr>
      <w:rFonts w:ascii="Tahoma" w:hAnsi="Tahoma"/>
      <w:sz w:val="16"/>
    </w:rPr>
  </w:style>
  <w:style w:type="paragraph" w:styleId="ListParagraph">
    <w:name w:val="List Paragraph"/>
    <w:basedOn w:val="LO-Normal"/>
    <w:qFormat/>
    <w:pPr>
      <w:ind w:left="720"/>
    </w:pPr>
    <w:rPr/>
  </w:style>
  <w:style w:type="paragraph" w:styleId="Style61">
    <w:name w:val="таблица"/>
    <w:basedOn w:val="LO-Normal"/>
    <w:qFormat/>
    <w:pPr>
      <w:jc w:val="left"/>
    </w:pPr>
    <w:rPr>
      <w:rFonts w:ascii="Times New Roman" w:hAnsi="Times New Roman"/>
      <w:sz w:val="24"/>
    </w:rPr>
  </w:style>
  <w:style w:type="paragraph" w:styleId="Style62">
    <w:name w:val="наименование таблицы"/>
    <w:basedOn w:val="Heading2"/>
    <w:qFormat/>
    <w:pPr>
      <w:tabs>
        <w:tab w:val="clear" w:pos="0"/>
      </w:tabs>
      <w:ind w:firstLine="709"/>
    </w:pPr>
    <w:rPr>
      <w:sz w:val="24"/>
    </w:rPr>
  </w:style>
  <w:style w:type="paragraph" w:styleId="Style63">
    <w:name w:val="шапка приложений"/>
    <w:basedOn w:val="LO-Normal"/>
    <w:qFormat/>
    <w:pPr>
      <w:ind w:left="8789"/>
    </w:pPr>
    <w:rPr>
      <w:rFonts w:ascii="Times New Roman" w:hAnsi="Times New Roman"/>
      <w:sz w:val="24"/>
    </w:rPr>
  </w:style>
  <w:style w:type="paragraph" w:styleId="Style64">
    <w:name w:val="ТАБЛИЦА"/>
    <w:basedOn w:val="LO-Normal"/>
    <w:qFormat/>
    <w:pPr>
      <w:ind w:firstLine="709"/>
    </w:pPr>
    <w:rPr>
      <w:rFonts w:ascii="Times New Roman" w:hAnsi="Times New Roman"/>
      <w:b/>
      <w:sz w:val="24"/>
    </w:rPr>
  </w:style>
  <w:style w:type="paragraph" w:styleId="Style65">
    <w:name w:val="Стиль По центру"/>
    <w:basedOn w:val="LO-Normal"/>
    <w:qFormat/>
    <w:pPr/>
    <w:rPr>
      <w:rFonts w:ascii="Times New Roman" w:hAnsi="Times New Roman"/>
      <w:sz w:val="24"/>
    </w:rPr>
  </w:style>
  <w:style w:type="paragraph" w:styleId="123">
    <w:name w:val="Нумерованный 123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ABC">
    <w:name w:val="Нумерованный ABC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abc1">
    <w:name w:val="Нумерованный abc1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IVX">
    <w:name w:val="Нумерованный IVX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ivx1">
    <w:name w:val="Нумерованный ivx1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66">
    <w:name w:val="Маркер •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67">
    <w:name w:val="Маркер –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68">
    <w:name w:val="Маркер 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69">
    <w:name w:val="Маркер 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70">
    <w:name w:val="Маркер 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114">
    <w:name w:val="Нумерованный 1)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71">
    <w:name w:val="Нумерованный а)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72">
    <w:name w:val="Нумерованный для таблиц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2">
    <w:name w:val="WW8Num2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5">
    <w:name w:val="WW8Num5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8">
    <w:name w:val="WW8Num8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7">
    <w:name w:val="WW8Num7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3">
    <w:name w:val="WW8Num3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4">
    <w:name w:val="WW8Num4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6">
    <w:name w:val="WW8Num6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10">
    <w:name w:val="WW8Num10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9">
    <w:name w:val="WW8Num9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73">
    <w:name w:val="Нормальный (таблица)"/>
    <w:basedOn w:val="Normal"/>
    <w:next w:val="Normal"/>
    <w:qFormat/>
    <w:pPr>
      <w:jc w:val="both"/>
    </w:pPr>
    <w:rPr/>
  </w:style>
  <w:style w:type="paragraph" w:styleId="Style74">
    <w:name w:val="Прижатый влево"/>
    <w:basedOn w:val="Normal"/>
    <w:next w:val="Normal"/>
    <w:qFormat/>
    <w:pPr/>
    <w:rPr/>
  </w:style>
  <w:style w:type="paragraph" w:styleId="Style75">
    <w:name w:val="Таблицы (моноширинный)"/>
    <w:basedOn w:val="Normal"/>
    <w:next w:val="Normal"/>
    <w:qFormat/>
    <w:pPr>
      <w:jc w:val="both"/>
    </w:pPr>
    <w:rPr>
      <w:rFonts w:ascii="Courier New" w:hAnsi="Courier New"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paragraph" w:styleId="user6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7">
    <w:name w:val="Заголовок таблицы (user)"/>
    <w:basedOn w:val="user6"/>
    <w:qFormat/>
    <w:pPr>
      <w:suppressLineNumbers/>
      <w:jc w:val="center"/>
    </w:pPr>
    <w:rPr>
      <w:b/>
    </w:rPr>
  </w:style>
  <w:style w:type="paragraph" w:styleId="ConsPlusNormal">
    <w:name w:val="ConsPlusNormal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paragraph" w:styleId="ConsPlusTitle">
    <w:name w:val="ConsPlusTitle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Noto Serif CJK SC" w:cs="FreeSans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paragraph" w:styleId="user8">
    <w:name w:val="Содержимое врезки (user)"/>
    <w:basedOn w:val="Normal"/>
    <w:qFormat/>
    <w:pPr/>
    <w:rPr/>
  </w:style>
  <w:style w:type="numbering" w:styleId="user9">
    <w:name w:val="Без списка (user)"/>
    <w:qFormat/>
  </w:style>
  <w:style w:type="table" w:default="1" w:styleId="T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75991&amp;dst=100015" TargetMode="External"/><Relationship Id="rId3" Type="http://schemas.openxmlformats.org/officeDocument/2006/relationships/hyperlink" Target="https://login.consultant.ru/link/?req=doc&amp;base=LAW&amp;n=493424&amp;dst=34531" TargetMode="External"/><Relationship Id="rId4" Type="http://schemas.openxmlformats.org/officeDocument/2006/relationships/hyperlink" Target="https://login.consultant.ru/link/?req=doc&amp;base=LAW&amp;n=493424&amp;dst=34531" TargetMode="External"/><Relationship Id="rId5" Type="http://schemas.openxmlformats.org/officeDocument/2006/relationships/hyperlink" Target="https://login.consultant.ru/link/?req=doc&amp;base=LAW&amp;n=493424&amp;dst=34531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LibreOffice/25.2.6.2$Linux_X86_64 LibreOffice_project/520$Build-2</Application>
  <AppVersion>15.0000</AppVersion>
  <Pages>30</Pages>
  <Words>4962</Words>
  <Characters>36269</Characters>
  <CharactersWithSpaces>40382</CharactersWithSpaces>
  <Paragraphs>878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2025-12-25T12:02:36Z</cp:lastPrinted>
  <dcterms:modified xsi:type="dcterms:W3CDTF">2025-12-25T12:02:41Z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