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/>
      </w:r>
    </w:p>
    <w:p>
      <w:pPr>
        <w:pStyle w:val="Normal"/>
        <w:ind w:firstLine="6" w:left="50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>
      <w:pPr>
        <w:pStyle w:val="Normal"/>
        <w:ind w:firstLine="6"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>
      <w:pPr>
        <w:pStyle w:val="Normal"/>
        <w:ind w:firstLine="6" w:left="50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Аргаяшского муниципального района </w:t>
      </w:r>
    </w:p>
    <w:p>
      <w:pPr>
        <w:pStyle w:val="Normal"/>
        <w:jc w:val="right"/>
        <w:rPr/>
      </w:pPr>
      <w:r>
        <w:rPr>
          <w:color w:val="000000"/>
          <w:sz w:val="28"/>
          <w:szCs w:val="28"/>
          <w:u w:val="none"/>
        </w:rPr>
        <w:t>"</w:t>
      </w:r>
      <w:r>
        <w:rPr>
          <w:color w:val="000000"/>
          <w:sz w:val="28"/>
          <w:szCs w:val="28"/>
          <w:u w:val="none"/>
        </w:rPr>
        <w:t>31</w:t>
      </w:r>
      <w:r>
        <w:rPr>
          <w:color w:val="000000"/>
          <w:sz w:val="28"/>
          <w:szCs w:val="28"/>
          <w:u w:val="none"/>
        </w:rPr>
        <w:t xml:space="preserve">" </w:t>
      </w:r>
      <w:r>
        <w:rPr>
          <w:color w:val="000000"/>
          <w:sz w:val="28"/>
          <w:szCs w:val="28"/>
          <w:u w:val="none"/>
        </w:rPr>
        <w:t xml:space="preserve">июля </w:t>
      </w:r>
      <w:r>
        <w:rPr>
          <w:color w:val="000000"/>
          <w:sz w:val="28"/>
          <w:szCs w:val="28"/>
          <w:u w:val="none"/>
        </w:rPr>
        <w:t xml:space="preserve">2024 г.   № </w:t>
      </w:r>
      <w:r>
        <w:rPr>
          <w:color w:val="000000"/>
          <w:sz w:val="28"/>
          <w:szCs w:val="28"/>
          <w:u w:val="none"/>
        </w:rPr>
        <w:t>836</w:t>
      </w:r>
    </w:p>
    <w:p>
      <w:pPr>
        <w:pStyle w:val="Normal"/>
        <w:ind w:firstLine="6" w:left="504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left="0" w:right="-2"/>
        <w:jc w:val="right"/>
        <w:rPr>
          <w:rFonts w:ascii="Tinos" w:hAnsi="Tinos"/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ar-SA" w:bidi="ar-SA"/>
        </w:rPr>
        <w:t>ПРОЕКТ</w:t>
      </w:r>
      <w:r>
        <w:rPr>
          <w:rFonts w:eastAsia="Times New Roman" w:cs="Times New Roman"/>
          <w:color w:val="auto"/>
          <w:sz w:val="26"/>
          <w:szCs w:val="26"/>
          <w:lang w:val="ru-RU" w:eastAsia="en-US" w:bidi="ar-SA"/>
        </w:rPr>
        <w:t xml:space="preserve"> </w:t>
      </w:r>
    </w:p>
    <w:tbl>
      <w:tblPr>
        <w:tblW w:w="7460" w:type="dxa"/>
        <w:jc w:val="left"/>
        <w:tblInd w:w="-1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460"/>
      </w:tblGrid>
      <w:tr>
        <w:trPr>
          <w:trHeight w:val="2523" w:hRule="atLeast"/>
        </w:trPr>
        <w:tc>
          <w:tcPr>
            <w:tcW w:w="74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>
            <w:pPr>
              <w:pStyle w:val="Normal"/>
              <w:widowControl/>
              <w:ind w:hanging="0" w:left="1474" w:right="1417"/>
              <w:jc w:val="both"/>
              <w:rPr/>
            </w:pPr>
            <w:r>
              <w:rPr>
                <w:rStyle w:val="Style16"/>
                <w:rFonts w:eastAsia="Times New Roman" w:cs="Times New Roman" w:ascii="Tinos" w:hAnsi="Tino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4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  <w:lang w:val="ru-RU" w:eastAsia="en-US" w:bidi="ar-SA"/>
              </w:rPr>
              <w:t xml:space="preserve">О предоставлении разрешения              на условно разрешенный                              вид использования земельного участка </w:t>
            </w:r>
            <w:r>
              <w:rPr>
                <w:rStyle w:val="8"/>
                <w:rFonts w:eastAsia="Times New Roman" w:cs="Times New Roman" w:ascii="Tinos" w:hAnsi="Tinos"/>
                <w:b w:val="false"/>
                <w:bCs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position w:val="0"/>
                <w:sz w:val="26"/>
                <w:sz w:val="26"/>
                <w:szCs w:val="26"/>
                <w:u w:val="none"/>
                <w:shd w:fill="auto" w:val="clear"/>
                <w:vertAlign w:val="baseline"/>
                <w:lang w:val="ru-RU" w:eastAsia="en-US" w:bidi="en-US"/>
              </w:rPr>
              <w:t>(религиозное использование, код 3.7)</w:t>
            </w:r>
          </w:p>
          <w:p>
            <w:pPr>
              <w:pStyle w:val="Normal"/>
              <w:tabs>
                <w:tab w:val="clear" w:pos="708"/>
                <w:tab w:val="left" w:pos="3417" w:leader="none"/>
              </w:tabs>
              <w:jc w:val="both"/>
              <w:rPr>
                <w:rFonts w:ascii="Tinos" w:hAnsi="Tinos" w:eastAsia="Times New Roman" w:cs="Times New Roman"/>
                <w:b w:val="false"/>
                <w:bCs w:val="false"/>
                <w:i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-4"/>
                <w:position w:val="0"/>
                <w:sz w:val="26"/>
                <w:sz w:val="26"/>
                <w:szCs w:val="26"/>
                <w:u w:val="none"/>
                <w:shd w:fill="FFFFFF" w:val="clear"/>
                <w:vertAlign w:val="baseline"/>
                <w:lang w:val="ru-RU" w:eastAsia="en-US" w:bidi="ar-SA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i w:val="false"/>
                <w:iCs/>
                <w:caps w:val="false"/>
                <w:smallCaps w:val="false"/>
                <w:strike w:val="false"/>
                <w:dstrike w:val="false"/>
                <w:color w:val="000000"/>
                <w:spacing w:val="-4"/>
                <w:position w:val="0"/>
                <w:sz w:val="26"/>
                <w:sz w:val="26"/>
                <w:szCs w:val="26"/>
                <w:u w:val="none"/>
                <w:shd w:fill="FFFFFF" w:val="clear"/>
                <w:vertAlign w:val="baseline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nos" w:hAnsi="Tinos"/>
          <w:color w:val="auto"/>
          <w:spacing w:val="0"/>
          <w:sz w:val="26"/>
          <w:szCs w:val="26"/>
          <w:lang w:val="ru-RU" w:eastAsia="en-US" w:bidi="ar-SA"/>
        </w:rPr>
        <w:tab/>
        <w:t>В соответствии со статьей 39 Градостроительного кодекса Российской Федерации</w:t>
      </w:r>
      <w:r>
        <w:rPr>
          <w:rFonts w:eastAsia="Times New Roman" w:cs="Times New Roman" w:ascii="Tinos" w:hAnsi="Tinos"/>
          <w:color w:val="000000"/>
          <w:spacing w:val="0"/>
          <w:sz w:val="26"/>
          <w:szCs w:val="26"/>
          <w:lang w:val="ru-RU" w:eastAsia="en-US" w:bidi="ar-SA"/>
        </w:rPr>
        <w:t xml:space="preserve">, </w:t>
      </w:r>
      <w:r>
        <w:rPr>
          <w:rFonts w:eastAsia="Times New Roman" w:cs="Times New Roman" w:ascii="Tinos" w:hAnsi="Tinos"/>
          <w:color w:val="auto"/>
          <w:spacing w:val="0"/>
          <w:sz w:val="26"/>
          <w:szCs w:val="26"/>
          <w:lang w:val="ru-RU" w:eastAsia="en-US" w:bidi="ar-SA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0"/>
          <w:position w:val="0"/>
          <w:sz w:val="26"/>
          <w:sz w:val="26"/>
          <w:szCs w:val="26"/>
          <w:u w:val="none"/>
          <w:shd w:fill="auto" w:val="clear"/>
          <w:vertAlign w:val="baseline"/>
          <w:lang w:val="ru-RU" w:eastAsia="en-US" w:bidi="ar-SA"/>
        </w:rPr>
        <w:t>приказом Федеральной службы государственной регистрации, кадастра и картографии                         от 10.11.2020 № П/0412 «Об утверждении классификатора видов разрешенного использования земельных участков»,</w:t>
      </w:r>
      <w:r>
        <w:rPr>
          <w:rFonts w:eastAsia="Times New Roman" w:cs="Times New Roman" w:ascii="Tinos" w:hAnsi="Tinos"/>
          <w:color w:val="auto"/>
          <w:spacing w:val="0"/>
          <w:sz w:val="26"/>
          <w:szCs w:val="26"/>
          <w:lang w:val="ru-RU" w:eastAsia="en-US" w:bidi="ar-SA"/>
        </w:rPr>
        <w:t xml:space="preserve"> решениями Собрания депутатов Аргаяшского муниципального района                     от 22.12.2021 № 191 «</w:t>
      </w:r>
      <w:r>
        <w:rPr>
          <w:rFonts w:eastAsia="Times New Roman" w:cs="Times New Roman" w:ascii="Tinos" w:hAnsi="Tinos"/>
          <w:color w:val="000000"/>
          <w:spacing w:val="0"/>
          <w:sz w:val="26"/>
          <w:szCs w:val="26"/>
          <w:shd w:fill="auto" w:val="clear"/>
          <w:lang w:val="ru-RU" w:eastAsia="en-US" w:bidi="ar-SA"/>
        </w:rPr>
        <w:t>Об утверждении Положения 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района»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0"/>
          <w:position w:val="0"/>
          <w:sz w:val="26"/>
          <w:sz w:val="26"/>
          <w:szCs w:val="26"/>
          <w:u w:val="none"/>
          <w:shd w:fill="auto" w:val="clear"/>
          <w:vertAlign w:val="baseline"/>
          <w:lang w:val="ru-RU" w:eastAsia="en-US" w:bidi="ar-SA"/>
        </w:rPr>
        <w:t xml:space="preserve">», </w:t>
      </w:r>
      <w:r>
        <w:rPr>
          <w:rFonts w:eastAsia="Times New Roman" w:cs="Times New Roman" w:ascii="Tinos" w:hAnsi="Tinos"/>
          <w:color w:val="auto"/>
          <w:spacing w:val="0"/>
          <w:sz w:val="26"/>
          <w:szCs w:val="26"/>
          <w:lang w:val="ru-RU" w:eastAsia="en-US" w:bidi="ar-SA"/>
        </w:rPr>
        <w:t>от 22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highlight w:val="white"/>
          <w:u w:val="none"/>
          <w:shd w:fill="FFFFFF" w:val="clear"/>
          <w:vertAlign w:val="baseline"/>
          <w:lang w:val="ru-RU" w:eastAsia="en-US" w:bidi="ar-SA"/>
        </w:rPr>
        <w:t>.05.2024 № 494 «</w:t>
      </w:r>
      <w:hyperlink r:id="rId2">
        <w:r>
          <w:rPr>
            <w:rStyle w:val="Hyperlink"/>
            <w:rFonts w:eastAsia="Times New Roman" w:cs="Times New Roman" w:ascii="Tinos" w:hAnsi="Tinos"/>
            <w:b w:val="false"/>
            <w:bCs w:val="false"/>
            <w:i w:val="false"/>
            <w:iCs/>
            <w:caps w:val="false"/>
            <w:smallCaps w:val="false"/>
            <w:strike w:val="false"/>
            <w:dstrike w:val="false"/>
            <w:color w:val="000000"/>
            <w:spacing w:val="0"/>
            <w:position w:val="0"/>
            <w:sz w:val="26"/>
            <w:sz w:val="26"/>
            <w:szCs w:val="26"/>
            <w:highlight w:val="white"/>
            <w:u w:val="none"/>
            <w:shd w:fill="FFFFFF" w:val="clear"/>
            <w:vertAlign w:val="baseline"/>
            <w:lang w:val="ru-RU" w:eastAsia="en-US" w:bidi="ar-SA"/>
          </w:rPr>
          <w:t>О внесении изменений в решение Собрания депутатов от 28.04.2021 №101 Об утверждении правил землепользования и застройки Акбашевского сельского поселения Аргаяшского муниципального района Челябинской области</w:t>
        </w:r>
      </w:hyperlink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highlight w:val="white"/>
          <w:u w:val="none"/>
          <w:shd w:fill="FFFFFF" w:val="clear"/>
          <w:vertAlign w:val="baseline"/>
          <w:lang w:val="ru-RU" w:eastAsia="en-US" w:bidi="ar-SA"/>
        </w:rPr>
        <w:t>»</w:t>
      </w:r>
      <w:r>
        <w:rPr>
          <w:rFonts w:eastAsia="Times New Roman" w:cs="Times New Roman" w:ascii="Tinos" w:hAnsi="Tinos"/>
          <w:color w:val="auto"/>
          <w:spacing w:val="0"/>
          <w:sz w:val="26"/>
          <w:szCs w:val="26"/>
          <w:lang w:val="ru-RU" w:eastAsia="en-US" w:bidi="ar-SA"/>
        </w:rPr>
        <w:t xml:space="preserve">,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6"/>
          <w:sz w:val="26"/>
          <w:szCs w:val="26"/>
          <w:u w:val="none"/>
          <w:shd w:fill="auto" w:val="clear"/>
          <w:vertAlign w:val="baseline"/>
          <w:lang w:val="ru-RU" w:eastAsia="en-US" w:bidi="ar-SA"/>
        </w:rPr>
        <w:t xml:space="preserve">запросом 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shd w:fill="FFFFFF" w:val="clear"/>
          <w:vertAlign w:val="baseline"/>
          <w:lang w:val="ru-RU" w:eastAsia="en-US" w:bidi="en-US"/>
        </w:rPr>
        <w:t xml:space="preserve">Централизованной религиозной 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4"/>
          <w:position w:val="0"/>
          <w:sz w:val="26"/>
          <w:sz w:val="26"/>
          <w:szCs w:val="26"/>
          <w:u w:val="none"/>
          <w:shd w:fill="FFFFFF" w:val="clear"/>
          <w:vertAlign w:val="baseline"/>
          <w:lang w:val="ru-RU" w:eastAsia="en-US" w:bidi="ar-SA"/>
        </w:rPr>
        <w:t xml:space="preserve">организации - «Региональное духовное управление мусульман Челябинской области в составе Центрального духовного управления мусульман России»  от 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4"/>
          <w:position w:val="0"/>
          <w:sz w:val="28"/>
          <w:sz w:val="28"/>
          <w:szCs w:val="28"/>
          <w:u w:val="none"/>
          <w:shd w:fill="auto" w:val="clear"/>
          <w:vertAlign w:val="baseline"/>
          <w:lang w:val="ru-RU" w:eastAsia="en-US" w:bidi="ar-SA"/>
        </w:rPr>
        <w:t>26.06.2024 № 4241</w:t>
      </w: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-4"/>
          <w:position w:val="0"/>
          <w:sz w:val="26"/>
          <w:sz w:val="26"/>
          <w:szCs w:val="26"/>
          <w:u w:val="none"/>
          <w:shd w:fill="auto" w:val="clear"/>
          <w:vertAlign w:val="baseline"/>
          <w:lang w:val="ru-RU" w:eastAsia="en-US" w:bidi="ar-SA"/>
        </w:rPr>
        <w:tab/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olor w:val="000000"/>
          <w:spacing w:val="-4"/>
          <w:position w:val="0"/>
          <w:sz w:val="26"/>
          <w:sz w:val="26"/>
          <w:szCs w:val="26"/>
          <w:u w:val="none"/>
          <w:shd w:fill="auto" w:val="clear"/>
          <w:vertAlign w:val="baseline"/>
          <w:lang w:val="ru-RU" w:eastAsia="en-US" w:bidi="ar-SA"/>
        </w:rPr>
        <w:tab/>
        <w:t>1.  Предо</w:t>
      </w: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-4"/>
          <w:position w:val="0"/>
          <w:sz w:val="26"/>
          <w:sz w:val="26"/>
          <w:szCs w:val="26"/>
          <w:u w:val="none"/>
          <w:shd w:fill="auto" w:val="clear"/>
          <w:vertAlign w:val="baseline"/>
          <w:lang w:val="ru-RU" w:eastAsia="en-US" w:bidi="ar-SA"/>
        </w:rPr>
        <w:t xml:space="preserve">ставить разрешение на условно разрешенный вид использования  </w:t>
      </w:r>
      <w:r>
        <w:rPr>
          <w:rStyle w:val="11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4"/>
          <w:position w:val="0"/>
          <w:sz w:val="26"/>
          <w:sz w:val="26"/>
          <w:szCs w:val="26"/>
          <w:highlight w:val="white"/>
          <w:u w:val="none"/>
          <w:shd w:fill="FFFFFF" w:val="clear"/>
          <w:vertAlign w:val="baseline"/>
          <w:lang w:val="ru-RU" w:eastAsia="en-US" w:bidi="en-US"/>
        </w:rPr>
        <w:t xml:space="preserve">земельного участка с кадастровым номером </w:t>
      </w:r>
      <w:r>
        <w:rPr>
          <w:rStyle w:val="8"/>
          <w:rFonts w:eastAsia="Times New Roman" w:cs="Times New Roman" w:ascii="Tinos" w:hAnsi="Tinos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highlight w:val="white"/>
          <w:u w:val="none"/>
          <w:shd w:fill="FFFFFF" w:val="clear"/>
          <w:vertAlign w:val="baseline"/>
          <w:lang w:val="ru-RU" w:eastAsia="en-US" w:bidi="en-US"/>
        </w:rPr>
        <w:t>74:02:0000000:3697 (религиозное использваоние, код 3.7) в территориальной зоне Ж-1 (Зона индивидуальной жилой застройки) по адресу: Челябинская область, район Аргаяшский, д. Дербишева, 40 метров по направлению на северо-запад от дома №1А расположенный по ул. Молодежная.</w:t>
      </w:r>
    </w:p>
    <w:p>
      <w:pPr>
        <w:pStyle w:val="Normal"/>
        <w:spacing w:lineRule="auto" w:line="240"/>
        <w:ind w:hanging="0" w:left="10" w:right="0"/>
        <w:jc w:val="both"/>
        <w:rPr/>
      </w:pP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shd w:fill="auto" w:val="clear"/>
          <w:vertAlign w:val="baseline"/>
          <w:lang w:val="ru-RU" w:eastAsia="en-US" w:bidi="ar-SA"/>
        </w:rPr>
        <w:tab/>
        <w:t>2.  Отделу информационного обеспечения и по связям с общественностью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 Аргаяшского муниципального района в информационно-телекоммуникационной сети Интернет</w:t>
      </w:r>
      <w:r>
        <w:rPr>
          <w:rFonts w:eastAsia="Times New Roman" w:cs="Times New Roman" w:ascii="Tinos" w:hAnsi="Tinos"/>
          <w:color w:val="000000"/>
          <w:spacing w:val="0"/>
          <w:sz w:val="26"/>
          <w:szCs w:val="26"/>
          <w:shd w:fill="auto" w:val="clear"/>
          <w:lang w:val="ru-RU" w:eastAsia="en-US" w:bidi="ar-SA"/>
        </w:rPr>
        <w:t>.</w:t>
      </w:r>
    </w:p>
    <w:p>
      <w:pPr>
        <w:pStyle w:val="Normal"/>
        <w:spacing w:lineRule="auto" w:line="240"/>
        <w:ind w:hanging="0" w:left="10" w:right="0"/>
        <w:jc w:val="both"/>
        <w:rPr/>
      </w:pPr>
      <w:r>
        <w:rPr>
          <w:rFonts w:eastAsia="Times New Roman" w:cs="Times New Roman" w:ascii="Tinos" w:hAnsi="Tinos"/>
          <w:color w:val="000000"/>
          <w:spacing w:val="0"/>
          <w:sz w:val="26"/>
          <w:szCs w:val="26"/>
          <w:shd w:fill="auto" w:val="clear"/>
          <w:lang w:val="ru-RU" w:eastAsia="en-US" w:bidi="ar-SA"/>
        </w:rPr>
        <w:tab/>
        <w:t>3.  </w:t>
      </w: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shd w:fill="auto" w:val="clear"/>
          <w:vertAlign w:val="baseline"/>
          <w:lang w:val="ru-RU" w:eastAsia="en-US" w:bidi="ar-SA"/>
        </w:rPr>
        <w:t>Контроль за исполнением настоящего постановления возложить на заместителя  главы муниципального района, председателя комитета по управлению имуществом Косарева С.В.</w:t>
      </w:r>
    </w:p>
    <w:p>
      <w:pPr>
        <w:pStyle w:val="Normal"/>
        <w:spacing w:lineRule="auto" w:line="240"/>
        <w:jc w:val="both"/>
        <w:rPr>
          <w:rFonts w:ascii="Tinos" w:hAnsi="Tinos" w:eastAsia="Times New Roman" w:cs="Times New Roman"/>
          <w:color w:val="auto"/>
          <w:spacing w:val="-4"/>
          <w:sz w:val="26"/>
          <w:szCs w:val="26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spacing w:val="-4"/>
          <w:sz w:val="26"/>
          <w:szCs w:val="26"/>
          <w:lang w:val="ru-RU" w:eastAsia="en-US" w:bidi="ar-SA"/>
        </w:rPr>
      </w:r>
    </w:p>
    <w:p>
      <w:pPr>
        <w:pStyle w:val="Normal"/>
        <w:spacing w:lineRule="auto" w:line="240"/>
        <w:jc w:val="both"/>
        <w:rPr>
          <w:rFonts w:ascii="Tinos" w:hAnsi="Tinos" w:eastAsia="Times New Roman" w:cs="Times New Roman"/>
          <w:color w:val="auto"/>
          <w:spacing w:val="-4"/>
          <w:sz w:val="26"/>
          <w:szCs w:val="26"/>
          <w:lang w:val="ru-RU" w:eastAsia="en-US" w:bidi="ar-SA"/>
        </w:rPr>
      </w:pPr>
      <w:r>
        <w:rPr>
          <w:rFonts w:eastAsia="Times New Roman" w:cs="Times New Roman" w:ascii="Tinos" w:hAnsi="Tinos"/>
          <w:color w:val="auto"/>
          <w:spacing w:val="-4"/>
          <w:sz w:val="26"/>
          <w:szCs w:val="26"/>
          <w:lang w:val="ru-RU" w:eastAsia="en-US" w:bidi="ar-SA"/>
        </w:rPr>
      </w:r>
    </w:p>
    <w:p>
      <w:pPr>
        <w:pStyle w:val="Normal"/>
        <w:tabs>
          <w:tab w:val="clear" w:pos="708"/>
          <w:tab w:val="left" w:pos="3360" w:leader="none"/>
        </w:tabs>
        <w:jc w:val="both"/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>Г</w:t>
      </w:r>
      <w:r>
        <w:rPr>
          <w:rFonts w:ascii="Tinos" w:hAnsi="Tinos"/>
          <w:sz w:val="26"/>
          <w:szCs w:val="26"/>
        </w:rPr>
        <w:t>лав</w:t>
      </w:r>
      <w:r>
        <w:rPr>
          <w:rFonts w:ascii="Tinos" w:hAnsi="Tinos"/>
          <w:sz w:val="26"/>
          <w:szCs w:val="26"/>
        </w:rPr>
        <w:t>а</w:t>
      </w:r>
      <w:r>
        <w:rPr>
          <w:rFonts w:ascii="Tinos" w:hAnsi="Tinos"/>
          <w:sz w:val="26"/>
          <w:szCs w:val="26"/>
        </w:rPr>
        <w:t xml:space="preserve"> Аргаяшского </w:t>
      </w:r>
    </w:p>
    <w:p>
      <w:pPr>
        <w:pStyle w:val="Normal"/>
        <w:tabs>
          <w:tab w:val="clear" w:pos="708"/>
          <w:tab w:val="left" w:pos="3360" w:leader="none"/>
        </w:tabs>
        <w:rPr>
          <w:rFonts w:ascii="Tinos" w:hAnsi="Tinos"/>
          <w:sz w:val="26"/>
          <w:szCs w:val="26"/>
        </w:rPr>
      </w:pPr>
      <w:r>
        <w:rPr>
          <w:rFonts w:ascii="Tinos" w:hAnsi="Tinos"/>
          <w:sz w:val="26"/>
          <w:szCs w:val="26"/>
        </w:rPr>
        <w:t xml:space="preserve">муниципального района                                                                                   </w:t>
      </w:r>
      <w:r>
        <w:rPr>
          <w:rFonts w:ascii="Tinos" w:hAnsi="Tinos"/>
          <w:sz w:val="26"/>
          <w:szCs w:val="26"/>
        </w:rPr>
        <w:t>И</w:t>
      </w:r>
      <w:r>
        <w:rPr>
          <w:rFonts w:ascii="Tinos" w:hAnsi="Tinos"/>
          <w:sz w:val="26"/>
          <w:szCs w:val="26"/>
        </w:rPr>
        <w:t>.</w:t>
      </w:r>
      <w:r>
        <w:rPr>
          <w:rFonts w:ascii="Tinos" w:hAnsi="Tinos"/>
          <w:sz w:val="26"/>
          <w:szCs w:val="26"/>
        </w:rPr>
        <w:t>В</w:t>
      </w:r>
      <w:r>
        <w:rPr>
          <w:rFonts w:ascii="Tinos" w:hAnsi="Tinos"/>
          <w:sz w:val="26"/>
          <w:szCs w:val="26"/>
        </w:rPr>
        <w:t>. И</w:t>
      </w:r>
      <w:r>
        <w:rPr>
          <w:rFonts w:ascii="Tinos" w:hAnsi="Tinos"/>
          <w:sz w:val="26"/>
          <w:szCs w:val="26"/>
        </w:rPr>
        <w:t>шимов</w:t>
      </w:r>
    </w:p>
    <w:p>
      <w:pPr>
        <w:pStyle w:val="Normal"/>
        <w:jc w:val="both"/>
        <w:rPr/>
      </w:pPr>
      <w:r>
        <w:rPr>
          <w:rStyle w:val="Style16"/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6"/>
          <w:sz w:val="26"/>
          <w:szCs w:val="26"/>
          <w:u w:val="none"/>
          <w:shd w:fill="auto" w:val="clear"/>
          <w:vertAlign w:val="baseline"/>
          <w:lang w:val="ru-RU" w:eastAsia="en-US" w:bidi="ar-SA"/>
        </w:rPr>
        <w:t xml:space="preserve">                                              </w:t>
      </w:r>
    </w:p>
    <w:p>
      <w:pPr>
        <w:pStyle w:val="Normal"/>
        <w:ind w:hanging="0" w:left="0" w:right="1"/>
        <w:jc w:val="both"/>
        <w:rPr>
          <w:rFonts w:ascii="Tinos" w:hAnsi="Tinos" w:eastAsia="Times New Roman" w:cs="Times New Roman"/>
          <w:color w:val="auto"/>
          <w:spacing w:val="-4"/>
          <w:sz w:val="26"/>
          <w:szCs w:val="26"/>
          <w:lang w:val="ru-RU" w:eastAsia="zh-CN" w:bidi="ar-SA"/>
        </w:rPr>
      </w:pPr>
      <w:r>
        <w:rPr>
          <w:rFonts w:eastAsia="Times New Roman" w:cs="Times New Roman" w:ascii="Tinos" w:hAnsi="Tinos"/>
          <w:color w:val="auto"/>
          <w:spacing w:val="-4"/>
          <w:sz w:val="26"/>
          <w:szCs w:val="26"/>
          <w:lang w:val="ru-RU" w:eastAsia="zh-CN" w:bidi="ar-SA"/>
        </w:rPr>
      </w:r>
    </w:p>
    <w:sectPr>
      <w:type w:val="nextPage"/>
      <w:pgSz w:w="11906" w:h="16838"/>
      <w:pgMar w:left="1440" w:right="500" w:gutter="0" w:header="0" w:top="180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1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5" w:customStyle="1">
    <w:name w:val="Тема примечания Знак"/>
    <w:basedOn w:val="Style13"/>
    <w:link w:val="Annotationsubject"/>
    <w:uiPriority w:val="99"/>
    <w:semiHidden/>
    <w:qFormat/>
    <w:rsid w:val="004a04b7"/>
    <w:rPr>
      <w:b/>
      <w:bCs/>
    </w:rPr>
  </w:style>
  <w:style w:type="character" w:styleId="Style16">
    <w:name w:val="Основной шрифт абзаца"/>
    <w:qFormat/>
    <w:rPr/>
  </w:style>
  <w:style w:type="character" w:styleId="8">
    <w:name w:val="Основной шрифт абзаца8"/>
    <w:qFormat/>
    <w:rPr/>
  </w:style>
  <w:style w:type="character" w:styleId="11">
    <w:name w:val="Основной шрифт абзаца1"/>
    <w:qFormat/>
    <w:rPr/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1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Annotationtext">
    <w:name w:val="annotation text"/>
    <w:basedOn w:val="Normal"/>
    <w:link w:val="Style13"/>
    <w:uiPriority w:val="99"/>
    <w:semiHidden/>
    <w:unhideWhenUsed/>
    <w:qFormat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4a04b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rgayash.ru/sites/default/files/akbashevskoe_sp_0.pdf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Application>LibreOffice/7.6.0.3$Linux_X86_64 LibreOffice_project/69edd8b8ebc41d00b4de3915dc82f8f0fc3b6265</Application>
  <AppVersion>15.0000</AppVersion>
  <Pages>1</Pages>
  <Words>265</Words>
  <Characters>2042</Characters>
  <CharactersWithSpaces>2527</CharactersWithSpaces>
  <Paragraphs>13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2021-08-24T08:14:00Z</cp:lastPrinted>
  <dcterms:modified xsi:type="dcterms:W3CDTF">2024-08-16T08:25:50Z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