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1"/>
        <w:gridCol w:w="5007"/>
      </w:tblGrid>
      <w:tr>
        <w:trPr/>
        <w:tc>
          <w:tcPr>
            <w:tcW w:w="4631" w:type="dxa"/>
            <w:tcBorders/>
          </w:tcPr>
          <w:p>
            <w:pPr>
              <w:pStyle w:val="Default"/>
              <w:pageBreakBefore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Defaul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5007" w:type="dxa"/>
            <w:tcBorders/>
          </w:tcPr>
          <w:p>
            <w:pPr>
              <w:pStyle w:val="22"/>
              <w:widowControl/>
              <w:tabs>
                <w:tab w:val="clear" w:pos="142"/>
                <w:tab w:val="left" w:pos="9635" w:leader="none"/>
              </w:tabs>
              <w:suppressAutoHyphens w:val="true"/>
              <w:overflowPunct w:val="false"/>
              <w:bidi w:val="0"/>
              <w:spacing w:before="0" w:after="0"/>
              <w:ind w:hanging="0" w:left="0" w:right="113"/>
              <w:jc w:val="center"/>
              <w:rPr/>
            </w:pPr>
            <w:r>
              <w:rPr/>
              <w:t>УТВЕРЖДЕНА</w:t>
            </w:r>
          </w:p>
          <w:p>
            <w:pPr>
              <w:pStyle w:val="22"/>
              <w:widowControl/>
              <w:suppressAutoHyphens w:val="true"/>
              <w:overflowPunct w:val="false"/>
              <w:bidi w:val="0"/>
              <w:spacing w:before="0" w:after="0"/>
              <w:ind w:hanging="0" w:left="0" w:right="113"/>
              <w:jc w:val="center"/>
              <w:rPr/>
            </w:pPr>
            <w:r>
              <w:rPr/>
              <w:t xml:space="preserve">постановлением администрации Аргаяшского муниципального </w:t>
            </w:r>
            <w:r>
              <w:rPr>
                <w:color w:val="auto"/>
              </w:rPr>
              <w:t>округа</w:t>
            </w:r>
          </w:p>
          <w:p>
            <w:pPr>
              <w:pStyle w:val="22"/>
              <w:widowControl/>
              <w:suppressAutoHyphens w:val="true"/>
              <w:overflowPunct w:val="false"/>
              <w:bidi w:val="0"/>
              <w:spacing w:before="0" w:after="0"/>
              <w:ind w:hanging="0" w:left="0" w:right="113"/>
              <w:jc w:val="left"/>
              <w:rPr>
                <w:color w:val="auto"/>
              </w:rPr>
            </w:pPr>
            <w:r>
              <w:rPr>
                <w:color w:val="auto"/>
              </w:rPr>
              <w:t>от «</w:t>
            </w:r>
            <w:r>
              <w:rPr>
                <w:color w:val="auto"/>
                <w:u w:val="single"/>
              </w:rPr>
              <w:t>23</w:t>
            </w:r>
            <w:r>
              <w:rPr>
                <w:color w:val="auto"/>
              </w:rPr>
              <w:t xml:space="preserve">» </w:t>
            </w:r>
            <w:r>
              <w:rPr>
                <w:color w:val="auto"/>
                <w:u w:val="single"/>
              </w:rPr>
              <w:t>декабря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u w:val="single"/>
              </w:rPr>
              <w:t>20</w:t>
            </w:r>
            <w:r>
              <w:rPr>
                <w:color w:val="auto"/>
                <w:u w:val="single"/>
              </w:rPr>
              <w:t>25</w:t>
            </w:r>
            <w:r>
              <w:rPr>
                <w:color w:val="auto"/>
              </w:rPr>
              <w:t xml:space="preserve">  № </w:t>
            </w:r>
            <w:r>
              <w:rPr>
                <w:color w:val="auto"/>
                <w:u w:val="single"/>
              </w:rPr>
              <w:t>163</w:t>
            </w:r>
          </w:p>
          <w:p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</w:p>
        </w:tc>
      </w:tr>
    </w:tbl>
    <w:p>
      <w:pPr>
        <w:pStyle w:val="Normal"/>
        <w:ind w:firstLine="567"/>
        <w:jc w:val="right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Программа профилактики </w:t>
      </w:r>
      <w:r>
        <w:rPr>
          <w:rFonts w:eastAsia="Calibri"/>
          <w:b w:val="false"/>
          <w:bCs w:val="false"/>
          <w:color w:val="auto"/>
          <w:sz w:val="28"/>
          <w:szCs w:val="28"/>
          <w:lang w:eastAsia="en-US"/>
        </w:rPr>
        <w:t xml:space="preserve">рисков причинения вреда (ущерба) </w:t>
      </w:r>
      <w:r>
        <w:rPr>
          <w:b w:val="false"/>
          <w:bCs w:val="false"/>
          <w:color w:val="auto"/>
          <w:sz w:val="28"/>
          <w:szCs w:val="28"/>
        </w:rPr>
        <w:t xml:space="preserve">на 2026 год охраняемым законом ценностям при осуществлении </w:t>
      </w:r>
    </w:p>
    <w:p>
      <w:pPr>
        <w:pStyle w:val="Normal"/>
        <w:jc w:val="center"/>
        <w:rPr>
          <w:u w:val="single"/>
        </w:rPr>
      </w:pPr>
      <w:r>
        <w:rPr>
          <w:b w:val="false"/>
          <w:bCs w:val="false"/>
          <w:color w:val="auto"/>
          <w:sz w:val="28"/>
          <w:szCs w:val="28"/>
          <w:u w:val="single"/>
        </w:rPr>
        <w:t>Муниципального жилищного контроля</w:t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ind w:firstLine="709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 (далее – Федеральный закон №248-ФЗ),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- п</w:t>
      </w:r>
      <w:r>
        <w:rPr>
          <w:rFonts w:eastAsia="Calibri"/>
          <w:color w:val="auto"/>
          <w:sz w:val="28"/>
          <w:szCs w:val="28"/>
          <w:lang w:eastAsia="en-US"/>
        </w:rPr>
        <w:t xml:space="preserve">остановление Правительства РФ от 25.06.2021 г. № 990) </w:t>
      </w:r>
      <w:r>
        <w:rPr>
          <w:color w:val="auto"/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>
      <w:pPr>
        <w:pStyle w:val="Default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ПАСПОРТ</w:t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039"/>
        <w:gridCol w:w="6599"/>
      </w:tblGrid>
      <w:tr>
        <w:trPr>
          <w:trHeight w:val="247" w:hRule="atLeast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Наименование программы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ind w:firstLine="624"/>
              <w:jc w:val="both"/>
              <w:rPr>
                <w:color w:val="auto"/>
              </w:rPr>
            </w:pPr>
            <w:r>
              <w:rPr>
                <w:color w:val="auto"/>
              </w:rPr>
              <w:t>Программа профилактики рисков причинения вреда (ущерба) муниципального жилищного контроля (далее – Программа профилактики)</w:t>
            </w:r>
          </w:p>
        </w:tc>
      </w:tr>
      <w:tr>
        <w:trPr>
          <w:trHeight w:val="273" w:hRule="atLeast"/>
        </w:trPr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Правовые основания разработки программы</w:t>
            </w: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firstLine="624" w:left="57" w:right="850"/>
              <w:jc w:val="left"/>
              <w:rPr>
                <w:color w:val="auto"/>
              </w:rPr>
            </w:pPr>
            <w:r>
              <w:rPr>
                <w:color w:val="auto"/>
              </w:rPr>
              <w:t>Федеральный закон № 248-ФЗ;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510" w:right="57"/>
              <w:jc w:val="left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Постановление Правительства РФ от 25.06.2021 г. № 990</w:t>
            </w:r>
          </w:p>
        </w:tc>
      </w:tr>
      <w:tr>
        <w:trPr>
          <w:trHeight w:val="109" w:hRule="atLeast"/>
        </w:trPr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Разработчик программы</w:t>
            </w: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bidi w:val="0"/>
              <w:spacing w:lineRule="auto" w:line="240" w:before="0" w:after="0"/>
              <w:ind w:firstLine="624" w:left="57" w:right="227"/>
              <w:jc w:val="both"/>
              <w:rPr>
                <w:iCs/>
                <w:color w:val="FF0000"/>
              </w:rPr>
            </w:pPr>
            <w:r>
              <w:rPr>
                <w:iCs/>
                <w:color w:val="auto"/>
              </w:rPr>
              <w:t>Управление строительства, инженерной инфраструктуры, дорожного хозяйства и транспорта администрации Аргаяшского муниципального района</w:t>
            </w:r>
          </w:p>
        </w:tc>
      </w:tr>
      <w:tr>
        <w:trPr>
          <w:trHeight w:val="523" w:hRule="atLeast"/>
        </w:trPr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Сроки и этапы реализации программы</w:t>
            </w: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57" w:left="113" w:right="227"/>
              <w:jc w:val="both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2026 год</w:t>
            </w:r>
          </w:p>
        </w:tc>
      </w:tr>
      <w:tr>
        <w:trPr>
          <w:trHeight w:val="247" w:hRule="atLeast"/>
        </w:trPr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Источники финансирования</w:t>
            </w: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57" w:right="57"/>
              <w:jc w:val="both"/>
              <w:rPr>
                <w:color w:val="auto"/>
              </w:rPr>
            </w:pPr>
            <w:r>
              <w:rPr>
                <w:color w:val="auto"/>
              </w:rPr>
              <w:t>не требует финансирования</w:t>
            </w:r>
          </w:p>
        </w:tc>
      </w:tr>
      <w:tr>
        <w:trPr>
          <w:trHeight w:val="274" w:hRule="atLeast"/>
        </w:trPr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Ожидаемые конечные результаты реализации программы</w:t>
            </w: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ind w:firstLine="624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>
      <w:pPr>
        <w:pStyle w:val="NoSpacing"/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Spacing"/>
        <w:widowControl/>
        <w:suppressAutoHyphens w:val="true"/>
        <w:overflowPunct w:val="false"/>
        <w:bidi w:val="0"/>
        <w:spacing w:lineRule="auto" w:line="240" w:before="0" w:after="0"/>
        <w:ind w:hanging="0" w:left="0" w:right="0"/>
        <w:jc w:val="center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Раздел 1. Анализ и оценка состояния подконтрольной сферы.</w:t>
      </w:r>
    </w:p>
    <w:p>
      <w:pPr>
        <w:pStyle w:val="NoSpacing"/>
        <w:widowControl/>
        <w:suppressAutoHyphens w:val="true"/>
        <w:overflowPunct w:val="false"/>
        <w:bidi w:val="0"/>
        <w:spacing w:lineRule="auto" w:line="240" w:before="0" w:after="0"/>
        <w:ind w:hanging="0" w:left="0" w:right="0"/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widowControl w:val="false"/>
        <w:tabs>
          <w:tab w:val="clear" w:pos="142"/>
          <w:tab w:val="left" w:pos="2298" w:leader="none"/>
          <w:tab w:val="left" w:pos="2964" w:leader="none"/>
          <w:tab w:val="left" w:pos="3988" w:leader="none"/>
          <w:tab w:val="left" w:pos="5017" w:leader="none"/>
          <w:tab w:val="left" w:pos="5709" w:leader="none"/>
          <w:tab w:val="left" w:pos="6132" w:leader="none"/>
          <w:tab w:val="left" w:pos="7653" w:leader="none"/>
          <w:tab w:val="left" w:pos="8759" w:leader="none"/>
        </w:tabs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Муниципальный жилищный контроль осуществляется Отделом ЖКХ Управления ЖКХ администрации Аргаяшского муниципального округа с 2026 г.</w:t>
      </w:r>
    </w:p>
    <w:p>
      <w:pPr>
        <w:pStyle w:val="Normal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/>
      </w:pPr>
      <w:r>
        <w:rPr>
          <w:rFonts w:eastAsia="Calibri"/>
          <w:iCs/>
          <w:color w:val="auto"/>
          <w:sz w:val="28"/>
          <w:szCs w:val="28"/>
          <w:lang w:eastAsia="en-US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1 - </w:t>
      </w:r>
      <w:hyperlink r:id="rId2" w:tooltip="consultantplus://offline/ref=93CD1A23DFF157724DB8D32DD51F7994E4F5B5A554B1801754BB5E98F67568E6B26112075B1E45BDBB20D9FAE76435A67A407B0CEF5F3BOBK">
        <w:r>
          <w:rPr>
            <w:rStyle w:val="Style"/>
            <w:rFonts w:eastAsia="Calibri"/>
            <w:iCs/>
            <w:color w:val="auto"/>
            <w:sz w:val="28"/>
            <w:szCs w:val="28"/>
            <w:lang w:eastAsia="en-US"/>
          </w:rPr>
          <w:t>12 части 1</w:t>
        </w:r>
      </w:hyperlink>
      <w:r>
        <w:rPr>
          <w:rFonts w:eastAsia="Calibri"/>
          <w:iCs/>
          <w:color w:val="auto"/>
          <w:sz w:val="28"/>
          <w:szCs w:val="28"/>
          <w:lang w:eastAsia="en-US"/>
        </w:rPr>
        <w:t xml:space="preserve"> статьи 20 Жилищного кодекса Российской Федерации, в отношении муниципального жилищного фонда.</w:t>
      </w:r>
    </w:p>
    <w:p>
      <w:pPr>
        <w:pStyle w:val="NormalWeb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/>
      </w:pPr>
      <w:r>
        <w:rPr>
          <w:color w:val="auto"/>
          <w:sz w:val="28"/>
          <w:szCs w:val="28"/>
        </w:rPr>
        <w:t xml:space="preserve">Обязательные требования установлены: </w:t>
      </w:r>
    </w:p>
    <w:p>
      <w:pPr>
        <w:pStyle w:val="NormalWeb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/>
      </w:pPr>
      <w:r>
        <w:rPr>
          <w:color w:val="auto"/>
          <w:sz w:val="28"/>
          <w:szCs w:val="28"/>
        </w:rPr>
        <w:t>Жилищным кодексом Российской Федерации;</w:t>
      </w:r>
    </w:p>
    <w:p>
      <w:pPr>
        <w:pStyle w:val="NormalWeb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/>
      </w:pPr>
      <w:r>
        <w:rPr>
          <w:bCs/>
          <w:color w:val="auto"/>
          <w:sz w:val="28"/>
          <w:szCs w:val="28"/>
        </w:rPr>
        <w:t>Постановлением Госстроя РФ от 27.09.2003 года № 170 «Об утверждении правил и норм технической эксплуатации жилищного фонда» и т.д.</w:t>
      </w:r>
    </w:p>
    <w:p>
      <w:pPr>
        <w:pStyle w:val="Normal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/>
      </w:pPr>
      <w:r>
        <w:rPr>
          <w:color w:val="auto"/>
          <w:sz w:val="28"/>
          <w:szCs w:val="28"/>
        </w:rPr>
        <w:t>При осуществлении муниципального жилищного контроля применяется система управления рисками.</w:t>
      </w:r>
    </w:p>
    <w:p>
      <w:pPr>
        <w:pStyle w:val="Normal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color w:val="auto"/>
        </w:rPr>
      </w:pPr>
      <w:r>
        <w:rPr>
          <w:color w:val="auto"/>
          <w:sz w:val="28"/>
          <w:szCs w:val="28"/>
        </w:rPr>
        <w:t>Количество объектов контроля умеренного риска – 0.</w:t>
      </w:r>
    </w:p>
    <w:p>
      <w:pPr>
        <w:pStyle w:val="Normal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color w:val="auto"/>
        </w:rPr>
      </w:pPr>
      <w:r>
        <w:rPr>
          <w:color w:val="auto"/>
          <w:sz w:val="28"/>
          <w:szCs w:val="28"/>
        </w:rPr>
        <w:t>Количество объектов контроля среднего риска – 2;</w:t>
      </w:r>
    </w:p>
    <w:p>
      <w:pPr>
        <w:pStyle w:val="Normal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color w:val="auto"/>
        </w:rPr>
      </w:pPr>
      <w:r>
        <w:rPr>
          <w:color w:val="auto"/>
          <w:sz w:val="28"/>
          <w:szCs w:val="28"/>
        </w:rPr>
        <w:t>Количество объектов контроля низкого риска – 0.</w:t>
      </w:r>
    </w:p>
    <w:p>
      <w:pPr>
        <w:pStyle w:val="Normal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В 2025 году – плановые и внеплановые контрольные (надзорные) мероприятия не проводились в связи с отсутствием обращений по поводу событий </w:t>
      </w:r>
      <w:r>
        <w:rPr>
          <w:rFonts w:eastAsia="Calibri"/>
          <w:iCs/>
          <w:color w:val="auto"/>
          <w:sz w:val="28"/>
          <w:szCs w:val="28"/>
          <w:lang w:eastAsia="en-US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>
      <w:pPr>
        <w:pStyle w:val="Normal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Профилактические мероприятия будут направлены на:</w:t>
      </w:r>
    </w:p>
    <w:p>
      <w:pPr>
        <w:pStyle w:val="Normal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постоянный мониторинг подконтрольной среды;</w:t>
      </w:r>
    </w:p>
    <w:p>
      <w:pPr>
        <w:pStyle w:val="Normal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>
      <w:pPr>
        <w:pStyle w:val="Normal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побуждение к добропорядочному поведению и добровольному соблюдению обязательных требований.</w:t>
      </w:r>
    </w:p>
    <w:p>
      <w:pPr>
        <w:pStyle w:val="Normal"/>
        <w:ind w:firstLine="851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Р</w:t>
      </w:r>
      <w:r>
        <w:rPr>
          <w:b/>
          <w:bCs/>
          <w:color w:val="auto"/>
          <w:sz w:val="28"/>
          <w:szCs w:val="28"/>
        </w:rPr>
        <w:t>аздел 2. Цели и задачи реализации программы профилактики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рисков причинения вреда (ущерба)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Основными целями Программы профилактики </w:t>
      </w:r>
      <w:r>
        <w:rPr>
          <w:rFonts w:eastAsia="Calibri"/>
          <w:bCs/>
          <w:color w:val="auto"/>
          <w:sz w:val="28"/>
          <w:szCs w:val="28"/>
          <w:lang w:eastAsia="en-US"/>
        </w:rPr>
        <w:t>рисков причинения вреда (ущерба)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bCs/>
          <w:color w:val="auto"/>
          <w:sz w:val="28"/>
          <w:szCs w:val="28"/>
        </w:rPr>
        <w:t>являются: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3) </w:t>
      </w:r>
      <w:r>
        <w:rPr>
          <w:color w:val="auto"/>
          <w:sz w:val="28"/>
          <w:szCs w:val="28"/>
        </w:rPr>
        <w:t>Снижение рисков причинения вреда (ущерба) охраняемым законом ценностям;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Снижение уровня социальной напряженности в жилищно-коммунальной сфере.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2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Программа профилактики направлена на решение следующих задач:</w:t>
      </w:r>
    </w:p>
    <w:p>
      <w:pPr>
        <w:pStyle w:val="Normal"/>
        <w:tabs>
          <w:tab w:val="clear" w:pos="142"/>
          <w:tab w:val="left" w:pos="567" w:leader="none"/>
          <w:tab w:val="left" w:pos="851" w:leader="none"/>
        </w:tabs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8"/>
        </w:rPr>
        <w:t>повышение прозрачности деятельности контрольного (надзорного) органа;</w:t>
      </w:r>
    </w:p>
    <w:p>
      <w:pPr>
        <w:pStyle w:val="Normal"/>
        <w:tabs>
          <w:tab w:val="clear" w:pos="142"/>
          <w:tab w:val="left" w:pos="567" w:leader="none"/>
          <w:tab w:val="left" w:pos="851" w:leader="none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уменьшение необоснованной административной нагрузки, возлагаемой на контролируемых лиц; </w:t>
      </w:r>
    </w:p>
    <w:p>
      <w:pPr>
        <w:pStyle w:val="ListParagraph"/>
        <w:numPr>
          <w:ilvl w:val="0"/>
          <w:numId w:val="1"/>
        </w:numPr>
        <w:tabs>
          <w:tab w:val="clear" w:pos="142"/>
          <w:tab w:val="left" w:pos="567" w:leader="none"/>
          <w:tab w:val="left" w:pos="851" w:leader="none"/>
        </w:tabs>
        <w:spacing w:lineRule="auto" w:line="240"/>
        <w:ind w:firstLine="709" w:left="0"/>
        <w:jc w:val="both"/>
        <w:rPr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>
      <w:pPr>
        <w:pStyle w:val="ListParagraph"/>
        <w:numPr>
          <w:ilvl w:val="0"/>
          <w:numId w:val="1"/>
        </w:numPr>
        <w:tabs>
          <w:tab w:val="clear" w:pos="142"/>
          <w:tab w:val="left" w:pos="567" w:leader="none"/>
          <w:tab w:val="left" w:pos="851" w:leader="none"/>
        </w:tabs>
        <w:spacing w:lineRule="auto" w:line="240"/>
        <w:ind w:firstLine="709" w:left="0"/>
        <w:jc w:val="both"/>
        <w:rPr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повышение доступности и качества правовой информации в сфере ЖКХ, в том числе с использованием социальных сетей, средств массовой информации;</w:t>
      </w:r>
    </w:p>
    <w:p>
      <w:pPr>
        <w:pStyle w:val="ListParagraph"/>
        <w:numPr>
          <w:ilvl w:val="0"/>
          <w:numId w:val="1"/>
        </w:numPr>
        <w:tabs>
          <w:tab w:val="clear" w:pos="142"/>
          <w:tab w:val="left" w:pos="567" w:leader="none"/>
          <w:tab w:val="left" w:pos="851" w:leader="none"/>
        </w:tabs>
        <w:spacing w:lineRule="auto" w:line="240" w:before="0" w:after="29"/>
        <w:ind w:firstLine="709" w:left="0"/>
        <w:contextualSpacing/>
        <w:jc w:val="both"/>
        <w:rPr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повышение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>
      <w:pPr>
        <w:pStyle w:val="Default"/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  <w:color w:val="auto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>
      <w:pPr>
        <w:pStyle w:val="Defaul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59"/>
        <w:gridCol w:w="2900"/>
        <w:gridCol w:w="1847"/>
        <w:gridCol w:w="2068"/>
        <w:gridCol w:w="2265"/>
      </w:tblGrid>
      <w:tr>
        <w:trPr>
          <w:cantSplit w:val="true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 xml:space="preserve">№ </w:t>
            </w:r>
            <w:r>
              <w:rPr>
                <w:iCs/>
                <w:color w:val="auto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Наименование и форма проведения мероприятия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Срок исполнения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 xml:space="preserve">Структурное подразделение, </w:t>
            </w:r>
            <w:r>
              <w:rPr>
                <w:rFonts w:eastAsia="Calibri"/>
                <w:color w:val="auto"/>
                <w:lang w:eastAsia="en-US"/>
              </w:rPr>
              <w:t>и (или) должностные лица контрольного (надзорного) органа, ответственные за их реализацию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Способ реализации</w:t>
            </w:r>
          </w:p>
        </w:tc>
      </w:tr>
      <w:tr>
        <w:trPr>
          <w:cantSplit w:val="true"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 Информирование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</w:t>
            </w:r>
          </w:p>
        </w:tc>
        <w:tc>
          <w:tcPr>
            <w:tcW w:w="90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Размещение на официальном сайте контрольного (надзорного) органа и актуализация следующей информации: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1.1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актуализация не позднее 2-х месяцев после вступления в силу НПА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ЖКХ,</w:t>
            </w:r>
          </w:p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информационных технологий и связи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размещение информации в разделе «муниципальный контроль» на официальном сайте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1.2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актуализация не позднее 2-х месяцев после вступления в силу НПА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ЖКХ,</w:t>
            </w:r>
          </w:p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Информационный отдел</w:t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1.3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актуализация не позднее 2-х месяцев после вступления в силу НПА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ЖКХ,</w:t>
            </w:r>
          </w:p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Информационный отдел</w:t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325" w:hRule="atLeast"/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1.4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проверочные листы в формате, допускающем их использование для самообследования;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актуализация не позднее 2-х месяцев после вступления в силу НПА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ЖКХ,</w:t>
            </w:r>
          </w:p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Информационный отдел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размещение информации в разделе «муниципальный контроль» на официальном сайте контрольного (надзорного) органа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1.5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16.01.2026 г.</w:t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актуализация не позднее одного месяца месяцев после вступления в силу НПА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ЖКХ,</w:t>
            </w:r>
          </w:p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Информационный отдел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размещение информации в разделе «муниципальный контроль» на официальном сайте контрольного (надзорного) органа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1.6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iCs/>
                <w:color w:val="auto"/>
                <w:lang w:eastAsia="en-US"/>
              </w:rPr>
              <w:t>реестр объектов контроля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Размещение виджета ЕРВК не позднее 16.01.2026 г., далее актуализация по мере необходимости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ЖКХ,</w:t>
            </w:r>
          </w:p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Информационный отдел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размещение виджета  в разделе «муниципальный контроль» на официальном сайте контрольного (надзорного) органа,</w:t>
            </w:r>
          </w:p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размещение объектов в ЕРВК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1.7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программа профилактики рисков причинения вреда (ущерба)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Утверждение не позднее 20.12.2026 г.,</w:t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Размещение на официальном сайте не позднее 25.12.2026 г.</w:t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далее актуализация по мере необходимости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hd w:val="clear" w:fill="FFFFFF"/>
              <w:spacing w:before="0" w:after="0"/>
              <w:ind w:hanging="0" w:left="0"/>
              <w:rPr>
                <w:color w:val="auto"/>
              </w:rPr>
            </w:pPr>
            <w:r>
              <w:rPr>
                <w:b w:val="false"/>
                <w:iCs/>
                <w:color w:val="auto"/>
                <w:sz w:val="24"/>
                <w:szCs w:val="24"/>
              </w:rPr>
              <w:t>размещение информации в разделе «муниципальный контроль» на официальном сайте контрольного (надзорного) органа,</w:t>
            </w:r>
            <w:r>
              <w:rPr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b w:val="false"/>
                <w:iCs/>
                <w:color w:val="auto"/>
                <w:sz w:val="24"/>
                <w:szCs w:val="24"/>
              </w:rPr>
              <w:t>на п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латформе обратной связи (ПОС)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1.8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актуализация по мере необходимости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hd w:val="clear" w:fill="FFFFFF"/>
              <w:spacing w:before="0" w:after="0"/>
              <w:ind w:hanging="0" w:left="0"/>
              <w:rPr>
                <w:color w:val="auto"/>
              </w:rPr>
            </w:pPr>
            <w:r>
              <w:rPr>
                <w:b w:val="false"/>
                <w:iCs/>
                <w:color w:val="auto"/>
                <w:sz w:val="24"/>
                <w:szCs w:val="24"/>
              </w:rPr>
              <w:t>размещение информации в разделе «муниципальный контроль» на официальном сайте контрольного (надзорного) органа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1.9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актуализация по мере необходимости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hd w:val="clear" w:fill="FFFFFF"/>
              <w:spacing w:before="0" w:after="0"/>
              <w:ind w:hanging="0" w:left="0"/>
              <w:rPr>
                <w:color w:val="auto"/>
              </w:rPr>
            </w:pPr>
            <w:r>
              <w:rPr>
                <w:b w:val="false"/>
                <w:iCs/>
                <w:color w:val="auto"/>
                <w:sz w:val="24"/>
                <w:szCs w:val="24"/>
              </w:rPr>
              <w:t>размещение информации в разделе «муниципальный контроль» на официальном сайте контрольного (надзорного) органа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1.10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не позднее 16.01.2026 г., далее актуализация по мере необходимости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hd w:val="clear" w:fill="FFFFFF"/>
              <w:spacing w:before="0" w:after="0"/>
              <w:ind w:hanging="0" w:left="0"/>
              <w:rPr>
                <w:color w:val="auto"/>
              </w:rPr>
            </w:pPr>
            <w:r>
              <w:rPr>
                <w:b w:val="false"/>
                <w:iCs/>
                <w:color w:val="auto"/>
                <w:sz w:val="24"/>
                <w:szCs w:val="24"/>
              </w:rPr>
              <w:t>размещение информации в разделе «муниципальный контроль» на официальном сайте контрольного (надзорного) органа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1.11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доклад о муниципальном контроле;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  <w:lang w:val="en-US"/>
              </w:rPr>
              <w:t>I</w:t>
            </w:r>
            <w:r>
              <w:rPr>
                <w:iCs/>
                <w:color w:val="auto"/>
              </w:rPr>
              <w:t xml:space="preserve"> квартал 2026 год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hd w:val="clear" w:fill="FFFFFF"/>
              <w:spacing w:before="0" w:after="0"/>
              <w:ind w:hanging="0" w:left="0"/>
              <w:rPr>
                <w:color w:val="auto"/>
              </w:rPr>
            </w:pPr>
            <w:r>
              <w:rPr>
                <w:b w:val="false"/>
                <w:iCs/>
                <w:color w:val="auto"/>
                <w:sz w:val="24"/>
                <w:szCs w:val="24"/>
              </w:rPr>
              <w:t>размещение информации в разделе «муниципальный контроль» на официальном сайте контрольного (надзорного) органа; размещение в ЕРВК; размещение в https://monitoring.gov.ru/order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1.12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Публичные обсуждения доклада, содержащего результаты обобщения правоприменительной практики контрольного (надзорного) органа;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до 1 апреля 2026 года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b w:val="false"/>
                <w:iCs/>
                <w:color w:val="auto"/>
                <w:sz w:val="24"/>
                <w:szCs w:val="24"/>
              </w:rPr>
              <w:t>Онлайн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1.13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до 1 апреля 2026 года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Отдел ЖКХ Управления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hd w:val="clear" w:fill="FFFFFF"/>
              <w:spacing w:before="0" w:after="0"/>
              <w:ind w:hanging="0" w:left="0"/>
              <w:rPr>
                <w:color w:val="auto"/>
              </w:rPr>
            </w:pPr>
            <w:r>
              <w:rPr>
                <w:b w:val="false"/>
                <w:iCs/>
                <w:color w:val="auto"/>
                <w:sz w:val="24"/>
                <w:szCs w:val="24"/>
              </w:rPr>
              <w:t>размещение информации в разделе «муниципальный контроль» на официальном сайте контрольного (надзорного) органа</w:t>
            </w:r>
          </w:p>
        </w:tc>
      </w:tr>
      <w:tr>
        <w:trPr>
          <w:cantSplit w:val="true"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2. Объявление предостережения</w:t>
            </w:r>
          </w:p>
        </w:tc>
      </w:tr>
      <w:tr>
        <w:trPr>
          <w:trHeight w:val="738" w:hRule="atLeast"/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2.1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выдача контролируемым лицам предостережения </w:t>
            </w:r>
            <w:r>
              <w:rPr>
                <w:rFonts w:eastAsia="Calibri"/>
                <w:iCs/>
                <w:color w:val="auto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постоянно по мере необходимости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инспектор отдела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0" w:right="0"/>
              <w:jc w:val="left"/>
              <w:rPr>
                <w:color w:val="auto"/>
              </w:rPr>
            </w:pPr>
            <w:r>
              <w:rPr>
                <w:iCs/>
                <w:color w:val="auto"/>
              </w:rPr>
              <w:t>посредством выдачи предостережения и заполнения ЕРКНМ</w:t>
            </w:r>
          </w:p>
        </w:tc>
      </w:tr>
      <w:tr>
        <w:trPr>
          <w:cantSplit w:val="true"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3. Консультирование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3.1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разъяснение по вопросам:</w:t>
            </w:r>
          </w:p>
          <w:p>
            <w:pPr>
              <w:pStyle w:val="pt-consplusnormal-000024"/>
              <w:tabs>
                <w:tab w:val="clear" w:pos="142"/>
                <w:tab w:val="left" w:pos="177" w:leader="none"/>
                <w:tab w:val="left" w:pos="333" w:leader="none"/>
                <w:tab w:val="left" w:pos="851" w:leader="none"/>
              </w:tabs>
              <w:spacing w:before="0" w:after="0"/>
              <w:jc w:val="both"/>
              <w:rPr/>
            </w:pPr>
            <w:r>
              <w:rPr>
                <w:rStyle w:val="pt-a0-000004"/>
                <w:color w:val="auto"/>
              </w:rPr>
              <w:t>положений нормативных правовых актов,</w:t>
            </w:r>
            <w:r>
              <w:rPr>
                <w:color w:val="auto"/>
              </w:rPr>
              <w:t xml:space="preserve"> муниципальных правовых актов</w:t>
            </w:r>
            <w:r>
              <w:rPr>
                <w:rStyle w:val="pt-a0-000004"/>
                <w:color w:val="auto"/>
              </w:rPr>
              <w:t xml:space="preserve"> содержащих обязательные требования, оценка соблюдения которых осуществляется в рамках муниципального контроля;</w:t>
            </w:r>
          </w:p>
          <w:p>
            <w:pPr>
              <w:pStyle w:val="pt-consplusnormal-000012"/>
              <w:tabs>
                <w:tab w:val="clear" w:pos="142"/>
                <w:tab w:val="left" w:pos="177" w:leader="none"/>
                <w:tab w:val="left" w:pos="333" w:leader="none"/>
                <w:tab w:val="left" w:pos="851" w:leader="none"/>
              </w:tabs>
              <w:spacing w:before="0" w:after="0"/>
              <w:jc w:val="both"/>
              <w:rPr/>
            </w:pPr>
            <w:r>
              <w:rPr>
                <w:rStyle w:val="pt-a0-000004"/>
                <w:color w:val="auto"/>
              </w:rPr>
              <w:t>положений нормативных правовых актов,</w:t>
            </w:r>
            <w:r>
              <w:rPr>
                <w:color w:val="auto"/>
              </w:rPr>
              <w:t xml:space="preserve"> муниципальных правовых актов,</w:t>
            </w:r>
            <w:r>
              <w:rPr>
                <w:rStyle w:val="pt-a0-000004"/>
                <w:color w:val="auto"/>
              </w:rPr>
              <w:t xml:space="preserve"> регламентирующих порядок осуществления муниципального контроля;</w:t>
            </w:r>
          </w:p>
          <w:p>
            <w:pPr>
              <w:pStyle w:val="pt-consplusnormal-000012"/>
              <w:tabs>
                <w:tab w:val="clear" w:pos="142"/>
                <w:tab w:val="left" w:pos="177" w:leader="none"/>
                <w:tab w:val="left" w:pos="333" w:leader="none"/>
                <w:tab w:val="left" w:pos="851" w:leader="none"/>
              </w:tabs>
              <w:spacing w:before="0" w:after="0"/>
              <w:jc w:val="both"/>
              <w:rPr/>
            </w:pPr>
            <w:r>
              <w:rPr>
                <w:rStyle w:val="pt-a0-000004"/>
                <w:color w:val="auto"/>
              </w:rPr>
              <w:t>порядка обжалования решений уполномоченных органов, действий (бездействия) должностных лиц осуществляющих муниципальный контроль;</w:t>
            </w:r>
          </w:p>
          <w:p>
            <w:pPr>
              <w:pStyle w:val="ListParagraph"/>
              <w:tabs>
                <w:tab w:val="clear" w:pos="142"/>
                <w:tab w:val="left" w:pos="177" w:leader="none"/>
                <w:tab w:val="left" w:pos="333" w:leader="none"/>
                <w:tab w:val="left" w:pos="567" w:leader="none"/>
                <w:tab w:val="left" w:pos="851" w:leader="none"/>
              </w:tabs>
              <w:spacing w:lineRule="auto" w:line="240" w:before="0" w:after="0"/>
              <w:ind w:left="0"/>
              <w:contextualSpacing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выполнения предписания, выданного по итогам контрольного (надзорного) мероприятия.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постоянно по мере поступления обращений, запросов на консультирование через ЕПГУ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Начальник отдела ЖКХ, инспектор отдела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устно, письменно, посредством ВКС, размещение письменных ответов на запросы по электронной почте, посредством МП «Инспектор»</w:t>
            </w:r>
          </w:p>
        </w:tc>
      </w:tr>
      <w:tr>
        <w:trPr>
          <w:cantSplit w:val="true"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4. Профилактический визит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4.1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iCs/>
                <w:color w:val="auto"/>
              </w:rPr>
              <w:t>Профилактический визит по инициативе контролируемого лица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по мере поступления обращений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Начальник отдела ЖКХ, инспектор отдела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Посредством проведения ВКС, посредством МП «Инспектор»</w:t>
            </w:r>
          </w:p>
        </w:tc>
      </w:tr>
      <w:tr>
        <w:trPr>
          <w:cantSplit w:val="true"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 xml:space="preserve">5. Информирование об </w:t>
            </w:r>
            <w:r>
              <w:rPr>
                <w:color w:val="auto"/>
              </w:rPr>
              <w:t>итогах реализации программы профилактики рисков причинения вреда (ущерба)</w:t>
            </w:r>
          </w:p>
        </w:tc>
      </w:tr>
      <w:tr>
        <w:trPr>
          <w:cantSplit w:val="true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 w:val="false"/>
                <w:iCs w:val="false"/>
                <w:color w:val="auto"/>
              </w:rPr>
              <w:t>5.1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iCs/>
                <w:color w:val="auto"/>
              </w:rPr>
              <w:t>размещение отчета об итогах реализации программы за 2026 г. профилактики рисков причинения вреда (ущерба)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Февраль 2027 года.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iCs/>
                <w:color w:val="auto"/>
              </w:rPr>
              <w:t>Начальник отдела ЖКХ, инспектор отдела ЖКХ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iCs/>
                <w:color w:val="auto"/>
              </w:rPr>
              <w:t>размещение информации в разделе «муниципальный контроль» на официальном сайте контрольного (надзорного) органа</w:t>
            </w:r>
          </w:p>
        </w:tc>
      </w:tr>
    </w:tbl>
    <w:p>
      <w:pPr>
        <w:pStyle w:val="Normal"/>
        <w:jc w:val="center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  <w:color w:val="auto"/>
          <w:sz w:val="28"/>
          <w:szCs w:val="28"/>
        </w:rPr>
        <w:t xml:space="preserve">Раздел 4. Показатели результативности и эффективности программы профилактики 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>рисков причинения вреда (ущерба)</w:t>
      </w:r>
    </w:p>
    <w:p>
      <w:pPr>
        <w:pStyle w:val="Normal"/>
        <w:numPr>
          <w:ilvl w:val="0"/>
          <w:numId w:val="0"/>
        </w:numPr>
        <w:ind w:firstLine="709" w:left="0"/>
        <w:jc w:val="center"/>
        <w:outlineLvl w:val="1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color w:val="auto"/>
          <w:sz w:val="28"/>
          <w:szCs w:val="28"/>
        </w:rPr>
        <w:t>Программа профилактики призвана обеспечить в 2026 году создание условий для снижения случаев нарушения жилищного законодательства, привлечь контролируемых лиц к инициативному и дисциплинированному соблюдению законодательства в жилищной сфере.</w:t>
      </w:r>
    </w:p>
    <w:p>
      <w:pPr>
        <w:pStyle w:val="Normal"/>
        <w:ind w:firstLine="709"/>
        <w:jc w:val="both"/>
        <w:rPr/>
      </w:pPr>
      <w:r>
        <w:rPr>
          <w:color w:val="auto"/>
          <w:sz w:val="28"/>
          <w:szCs w:val="28"/>
        </w:rPr>
        <w:t xml:space="preserve">Реализации программы профилактики будет способствовать повышению эффективности соблюдения установленных обязательных требований. </w:t>
      </w:r>
    </w:p>
    <w:p>
      <w:pPr>
        <w:pStyle w:val="Normal"/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По окончании года контрольный (надзорный) орган подводит итоги реализации программы профилактики </w:t>
      </w:r>
      <w:r>
        <w:rPr>
          <w:rFonts w:eastAsia="Calibri"/>
          <w:bCs/>
          <w:color w:val="auto"/>
          <w:sz w:val="28"/>
          <w:szCs w:val="28"/>
          <w:lang w:eastAsia="en-US"/>
        </w:rPr>
        <w:t>рисков причинения вреда (ущерба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>)</w:t>
      </w:r>
      <w:r>
        <w:rPr>
          <w:color w:val="auto"/>
          <w:sz w:val="28"/>
          <w:szCs w:val="28"/>
        </w:rPr>
        <w:t>, размещая отчёт на сайте контрольного (надзорного) органа не позднее февраля 2027 года.</w:t>
      </w:r>
    </w:p>
    <w:p>
      <w:pPr>
        <w:pStyle w:val="Normal"/>
        <w:ind w:firstLine="709"/>
        <w:jc w:val="both"/>
        <w:rPr>
          <w:i/>
          <w:i/>
          <w:color w:val="FF0000"/>
        </w:rPr>
      </w:pPr>
      <w:r>
        <w:rPr>
          <w:i/>
          <w:color w:val="FF0000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88"/>
        <w:gridCol w:w="7155"/>
        <w:gridCol w:w="1996"/>
      </w:tblGrid>
      <w:tr>
        <w:trPr>
          <w:trHeight w:val="527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bookmarkStart w:id="0" w:name="_GoBack"/>
            <w:bookmarkEnd w:id="0"/>
            <w:r>
              <w:rPr>
                <w:color w:val="auto"/>
              </w:rPr>
              <w:t xml:space="preserve">№ </w:t>
            </w:r>
            <w:r>
              <w:rPr>
                <w:color w:val="auto"/>
              </w:rPr>
              <w:t>п/п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Величина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</w:rPr>
              <w:t>Полнота информации, размещенной на официальном сайте контрольного (надзорного)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100 %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</w:rPr>
              <w:t>Удовлетворённость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70 % от числа опрошенных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</w:rPr>
              <w:t>Количество проведенных профилактических мероприятий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100% от запланированных</w:t>
            </w:r>
          </w:p>
        </w:tc>
      </w:tr>
    </w:tbl>
    <w:p>
      <w:pPr>
        <w:pStyle w:val="NoSpacing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оценки эффективности и результативности программы профилактики </w:t>
      </w:r>
      <w:r>
        <w:rPr>
          <w:rFonts w:eastAsia="Calibri"/>
          <w:bCs/>
          <w:color w:val="auto"/>
          <w:sz w:val="28"/>
          <w:szCs w:val="28"/>
          <w:lang w:eastAsia="en-US"/>
        </w:rPr>
        <w:t>рисков причинения вреда (ущерба)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</w:rPr>
        <w:t>используются следующие оценки показателей:</w:t>
      </w:r>
    </w:p>
    <w:p>
      <w:pPr>
        <w:pStyle w:val="NoSpacing"/>
        <w:ind w:firstLine="567"/>
        <w:jc w:val="both"/>
        <w:rPr>
          <w:color w:val="auto"/>
        </w:rPr>
      </w:pPr>
      <w:r>
        <w:rPr>
          <w:color w:val="auto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892"/>
        <w:gridCol w:w="2702"/>
        <w:gridCol w:w="2271"/>
        <w:gridCol w:w="1773"/>
      </w:tblGrid>
      <w:tr>
        <w:trPr>
          <w:trHeight w:val="508" w:hRule="atLeast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Значение показателя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Нет отклонения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Отклонение больше 20%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Отклонение больше 50 %</w:t>
            </w:r>
          </w:p>
        </w:tc>
      </w:tr>
      <w:tr>
        <w:trPr>
          <w:trHeight w:val="508" w:hRule="atLeast"/>
        </w:trPr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142"/>
                <w:tab w:val="left" w:pos="60" w:leader="none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высокая эффективность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удовлетворительная эффективность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низкая эффективность</w:t>
            </w:r>
          </w:p>
        </w:tc>
      </w:tr>
    </w:tbl>
    <w:p>
      <w:pPr>
        <w:pStyle w:val="Normal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pacing w:before="0" w:after="0"/>
        <w:ind w:firstLine="567"/>
        <w:jc w:val="right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  <w:r>
        <w:br w:type="page"/>
      </w:r>
    </w:p>
    <w:p>
      <w:pPr>
        <w:pStyle w:val="Normal"/>
        <w:widowControl/>
        <w:tabs>
          <w:tab w:val="clear" w:pos="142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hanging="0" w:left="4535" w:right="0"/>
        <w:jc w:val="right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Приложение к</w:t>
      </w:r>
    </w:p>
    <w:p>
      <w:pPr>
        <w:pStyle w:val="Normal"/>
        <w:widowControl/>
        <w:tabs>
          <w:tab w:val="clear" w:pos="142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hanging="0" w:left="4535" w:right="0"/>
        <w:jc w:val="right"/>
        <w:rPr/>
      </w:pPr>
      <w:r>
        <w:rPr>
          <w:b w:val="false"/>
          <w:bCs w:val="false"/>
          <w:color w:val="auto"/>
          <w:sz w:val="28"/>
          <w:szCs w:val="28"/>
        </w:rPr>
        <w:t xml:space="preserve">Программе профилактики </w:t>
      </w:r>
      <w:r>
        <w:rPr>
          <w:rFonts w:eastAsia="Calibri"/>
          <w:b w:val="false"/>
          <w:bCs w:val="false"/>
          <w:color w:val="auto"/>
          <w:sz w:val="28"/>
          <w:szCs w:val="28"/>
          <w:lang w:eastAsia="en-US"/>
        </w:rPr>
        <w:t>рисков</w:t>
      </w:r>
    </w:p>
    <w:p>
      <w:pPr>
        <w:pStyle w:val="Normal"/>
        <w:widowControl/>
        <w:tabs>
          <w:tab w:val="clear" w:pos="142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hanging="0" w:left="4535" w:right="0"/>
        <w:jc w:val="right"/>
        <w:rPr>
          <w:color w:val="auto"/>
        </w:rPr>
      </w:pPr>
      <w:r>
        <w:rPr>
          <w:rFonts w:eastAsia="Calibri"/>
          <w:b w:val="false"/>
          <w:bCs w:val="false"/>
          <w:color w:val="auto"/>
          <w:sz w:val="28"/>
          <w:szCs w:val="28"/>
          <w:lang w:eastAsia="en-US"/>
        </w:rPr>
        <w:t xml:space="preserve">причинения вреда (ущерба) </w:t>
      </w:r>
      <w:r>
        <w:rPr>
          <w:b w:val="false"/>
          <w:bCs w:val="false"/>
          <w:color w:val="auto"/>
          <w:sz w:val="28"/>
          <w:szCs w:val="28"/>
        </w:rPr>
        <w:t>на 2026 год,</w:t>
      </w:r>
    </w:p>
    <w:p>
      <w:pPr>
        <w:pStyle w:val="Normal"/>
        <w:widowControl/>
        <w:tabs>
          <w:tab w:val="clear" w:pos="142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hanging="0" w:left="4535" w:right="0"/>
        <w:jc w:val="right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утвержденной постановлением администрации</w:t>
      </w:r>
    </w:p>
    <w:p>
      <w:pPr>
        <w:pStyle w:val="Normal"/>
        <w:widowControl/>
        <w:tabs>
          <w:tab w:val="clear" w:pos="142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hanging="0" w:left="4535" w:right="0"/>
        <w:jc w:val="right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Аргаяшского муниципального округа</w:t>
      </w:r>
    </w:p>
    <w:p>
      <w:pPr>
        <w:pStyle w:val="Normal"/>
        <w:widowControl/>
        <w:tabs>
          <w:tab w:val="clear" w:pos="142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hanging="0" w:left="4535" w:right="0"/>
        <w:jc w:val="right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от «___» __________ 20__ г. № _____</w:t>
      </w:r>
    </w:p>
    <w:p>
      <w:pPr>
        <w:pStyle w:val="Normal"/>
        <w:ind w:firstLine="567"/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ind w:firstLine="567"/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0" w:right="0"/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График проведения профилактических визитов в 2026 году</w:t>
      </w:r>
    </w:p>
    <w:p>
      <w:pPr>
        <w:pStyle w:val="Normal"/>
        <w:ind w:firstLine="567"/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11"/>
        <w:gridCol w:w="2604"/>
        <w:gridCol w:w="3253"/>
        <w:gridCol w:w="1305"/>
        <w:gridCol w:w="2066"/>
      </w:tblGrid>
      <w:tr>
        <w:trPr>
          <w:trHeight w:val="420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Контролируемое лицо (объект контроля)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Адрес осуществления деятельности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Дата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Формат проведения (адрес/онлайн/</w:t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посредством МП «Инспектор»)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34" w:right="317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34" w:right="317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</w:tbl>
    <w:p>
      <w:pPr>
        <w:pStyle w:val="Normal"/>
        <w:ind w:firstLine="567"/>
        <w:jc w:val="center"/>
        <w:rPr>
          <w:color w:val="auto"/>
        </w:rPr>
      </w:pPr>
      <w:r>
        <w:rPr>
          <w:color w:val="auto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850" w:gutter="0" w:header="1134" w:top="1560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42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qFormat/>
    <w:pPr>
      <w:numPr>
        <w:ilvl w:val="0"/>
        <w:numId w:val="0"/>
      </w:numPr>
      <w:spacing w:before="280" w:after="28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2">
    <w:name w:val="Заголовок 2 Знак"/>
    <w:basedOn w:val="DefaultParagraphFont"/>
    <w:qFormat/>
    <w:rPr>
      <w:rFonts w:ascii="Arial" w:hAnsi="Arial" w:eastAsia="Arial" w:cs="Arial"/>
      <w:sz w:val="34"/>
    </w:rPr>
  </w:style>
  <w:style w:type="character" w:styleId="3">
    <w:name w:val="Заголовок 3 Знак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Style5">
    <w:name w:val="Название Знак"/>
    <w:basedOn w:val="DefaultParagraphFont"/>
    <w:qFormat/>
    <w:rPr>
      <w:sz w:val="48"/>
      <w:szCs w:val="48"/>
    </w:rPr>
  </w:style>
  <w:style w:type="character" w:styleId="Style6">
    <w:name w:val="Подзаголовок Знак"/>
    <w:basedOn w:val="DefaultParagraphFont"/>
    <w:qFormat/>
    <w:rPr>
      <w:sz w:val="24"/>
      <w:szCs w:val="24"/>
    </w:rPr>
  </w:style>
  <w:style w:type="character" w:styleId="21">
    <w:name w:val="Цитата 2 Знак"/>
    <w:link w:val="Quote"/>
    <w:qFormat/>
    <w:rPr>
      <w:i/>
    </w:rPr>
  </w:style>
  <w:style w:type="character" w:styleId="Style7">
    <w:name w:val="Выделенная цитата Знак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Style8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">
    <w:name w:val="Символ сноски (user)"/>
    <w:qFormat/>
    <w:rPr>
      <w:vertAlign w:val="superscript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Style1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t-a0-000004">
    <w:name w:val="pt-a0-000004"/>
    <w:basedOn w:val="DefaultParagraphFont"/>
    <w:qFormat/>
    <w:rPr/>
  </w:style>
  <w:style w:type="character" w:styleId="Style12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pPr/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 w:cs="Arial"/>
      <w:sz w:val="22"/>
      <w:szCs w:val="22"/>
      <w:lang w:eastAsia="en-US"/>
    </w:rPr>
  </w:style>
  <w:style w:type="paragraph" w:styleId="FootnoteText">
    <w:name w:val="footnote text"/>
    <w:basedOn w:val="Normal"/>
    <w:link w:val="Style8"/>
    <w:pPr/>
    <w:rPr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EndnoteText">
    <w:name w:val="endnote text"/>
    <w:basedOn w:val="Normal"/>
    <w:link w:val="Style10"/>
    <w:pPr/>
    <w:rPr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t-consplusnormal-000012">
    <w:name w:val="pt-consplusnormal-000012"/>
    <w:basedOn w:val="Normal"/>
    <w:qFormat/>
    <w:pPr>
      <w:spacing w:before="280" w:after="280"/>
    </w:pPr>
    <w:rPr/>
  </w:style>
  <w:style w:type="paragraph" w:styleId="pt-consplusnormal-000024">
    <w:name w:val="pt-consplusnormal-000024"/>
    <w:basedOn w:val="Normal"/>
    <w:qFormat/>
    <w:pPr>
      <w:spacing w:before="280" w:after="280"/>
    </w:pPr>
    <w:rPr/>
  </w:style>
  <w:style w:type="paragraph" w:styleId="user4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142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pPr>
      <w:tabs>
        <w:tab w:val="clear" w:pos="142"/>
        <w:tab w:val="center" w:pos="4677" w:leader="none"/>
        <w:tab w:val="right" w:pos="9355" w:leader="none"/>
      </w:tabs>
    </w:pPr>
    <w:rPr/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PT Astra Serif;Times New Roman" w:hAnsi="PT Astra Serif;Times New Roman" w:eastAsia="Source Han Sans CN Regular;Times New Roman" w:cs="Lohit Devanagari;Times New Roman"/>
      <w:color w:val="auto"/>
      <w:kern w:val="2"/>
      <w:sz w:val="28"/>
      <w:szCs w:val="28"/>
      <w:lang w:val="ru-RU" w:eastAsia="zh-CN" w:bidi="hi-IN"/>
    </w:rPr>
  </w:style>
  <w:style w:type="paragraph" w:styleId="11">
    <w:name w:val="Стиль1"/>
    <w:basedOn w:val="LO-Normal"/>
    <w:qFormat/>
    <w:pPr>
      <w:overflowPunct w:val="false"/>
      <w:ind w:hanging="0" w:left="4820" w:right="284"/>
      <w:jc w:val="both"/>
    </w:pPr>
    <w:rPr>
      <w:rFonts w:ascii="Times New Roman" w:hAnsi="Times New Roman" w:cs="Times New Roman"/>
      <w:szCs w:val="28"/>
    </w:rPr>
  </w:style>
  <w:style w:type="paragraph" w:styleId="22">
    <w:name w:val="Стиль2"/>
    <w:basedOn w:val="11"/>
    <w:qFormat/>
    <w:pPr>
      <w:ind w:hanging="0" w:left="0" w:right="-567"/>
    </w:pPr>
    <w:rPr/>
  </w:style>
  <w:style w:type="numbering" w:styleId="user6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CD1A23DFF157724DB8D32DD51F7994E4F5B5A554B1801754BB5E98F67568E6B26112075B1E45BDBB20D9FAE76435A67A407B0CEF5F3BOB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Application>LibreOffice/25.2.6.2$Linux_X86_64 LibreOffice_project/520$Build-2</Application>
  <AppVersion>15.0000</AppVersion>
  <Pages>9</Pages>
  <Words>1493</Words>
  <Characters>11183</Characters>
  <CharactersWithSpaces>12488</CharactersWithSpaces>
  <Paragraphs>198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2025-09-17T03:42:00Z</dcterms:created>
  <dc:creator>platonovael</dc:creator>
  <dc:description/>
  <dc:language>ru-RU</dc:language>
  <cp:lastModifiedBy/>
  <cp:lastPrinted>2025-12-22T15:47:30Z</cp:lastPrinted>
  <dcterms:modified xsi:type="dcterms:W3CDTF">2025-12-25T11:15:10Z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