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DA3300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4157AD">
        <w:trPr>
          <w:trHeight w:val="285"/>
        </w:trPr>
        <w:tc>
          <w:tcPr>
            <w:tcW w:w="3828" w:type="dxa"/>
          </w:tcPr>
          <w:p w:rsidR="00026437" w:rsidRDefault="00F03558" w:rsidP="004157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14</w:t>
            </w:r>
          </w:p>
        </w:tc>
      </w:tr>
      <w:tr w:rsidR="00026437" w:rsidTr="004157AD">
        <w:tc>
          <w:tcPr>
            <w:tcW w:w="3828" w:type="dxa"/>
          </w:tcPr>
          <w:p w:rsidR="00026437" w:rsidRDefault="004157AD" w:rsidP="00415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4157AD" w:rsidRDefault="004157AD" w:rsidP="00F95D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97BD4" w:rsidTr="002E01F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97BD4" w:rsidRDefault="00E97BD4" w:rsidP="002E01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правопреемстве органов местного самоуправления  Аргаяшского муниципального округа</w:t>
            </w:r>
          </w:p>
        </w:tc>
      </w:tr>
    </w:tbl>
    <w:p w:rsidR="00E97BD4" w:rsidRDefault="00E97BD4" w:rsidP="009700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A4E" w:rsidRPr="00E97BD4" w:rsidRDefault="00931C5C" w:rsidP="00E97B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BD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РФ, </w:t>
      </w:r>
      <w:r w:rsidR="00B75A4E" w:rsidRPr="00E97BD4">
        <w:rPr>
          <w:rFonts w:ascii="Times New Roman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Pr="00E97BD4">
        <w:rPr>
          <w:rFonts w:ascii="Times New Roman" w:hAnsi="Times New Roman" w:cs="Times New Roman"/>
          <w:sz w:val="28"/>
          <w:szCs w:val="28"/>
        </w:rPr>
        <w:t xml:space="preserve">, Законом Челябинской области от 19 марта 2025 года № 31-ЗО </w:t>
      </w:r>
      <w:r w:rsidR="00B75A4E" w:rsidRPr="00E97BD4">
        <w:rPr>
          <w:rFonts w:ascii="Times New Roman" w:hAnsi="Times New Roman" w:cs="Times New Roman"/>
          <w:sz w:val="28"/>
          <w:szCs w:val="28"/>
        </w:rPr>
        <w:t>"</w:t>
      </w:r>
      <w:r w:rsidRPr="00E97BD4">
        <w:rPr>
          <w:rFonts w:ascii="Times New Roman" w:hAnsi="Times New Roman" w:cs="Times New Roman"/>
          <w:sz w:val="28"/>
          <w:szCs w:val="28"/>
        </w:rPr>
        <w:t>О статусе и границах Аргаяшско</w:t>
      </w:r>
      <w:r w:rsidR="00786027" w:rsidRPr="00E97BD4">
        <w:rPr>
          <w:rFonts w:ascii="Times New Roman" w:hAnsi="Times New Roman" w:cs="Times New Roman"/>
          <w:sz w:val="28"/>
          <w:szCs w:val="28"/>
        </w:rPr>
        <w:t>го</w:t>
      </w:r>
      <w:r w:rsidRPr="00E97BD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F03E3" w:rsidRPr="00E97BD4">
        <w:rPr>
          <w:rFonts w:ascii="Times New Roman" w:hAnsi="Times New Roman" w:cs="Times New Roman"/>
          <w:sz w:val="28"/>
          <w:szCs w:val="28"/>
        </w:rPr>
        <w:t>ого округа Челябинской области</w:t>
      </w:r>
      <w:r w:rsidR="00B75A4E" w:rsidRPr="00E97BD4">
        <w:rPr>
          <w:rFonts w:ascii="Times New Roman" w:hAnsi="Times New Roman" w:cs="Times New Roman"/>
          <w:sz w:val="28"/>
          <w:szCs w:val="28"/>
        </w:rPr>
        <w:t>"</w:t>
      </w:r>
    </w:p>
    <w:p w:rsidR="00355A21" w:rsidRPr="00054099" w:rsidRDefault="00355A21" w:rsidP="00E334F4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85746D" w:rsidRPr="0085746D" w:rsidRDefault="00E500A3" w:rsidP="0085746D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5746D" w:rsidRPr="00786027" w:rsidRDefault="0085746D" w:rsidP="00786027">
      <w:pPr>
        <w:widowControl w:val="0"/>
        <w:suppressAutoHyphens/>
        <w:spacing w:after="0"/>
        <w:jc w:val="center"/>
        <w:rPr>
          <w:rFonts w:ascii="Times New Roman" w:eastAsia="Lucida Sans Unicode" w:hAnsi="Times New Roman" w:cs="Tahoma"/>
          <w:b/>
          <w:bCs/>
          <w:kern w:val="1"/>
          <w:sz w:val="28"/>
          <w:szCs w:val="28"/>
        </w:rPr>
      </w:pPr>
    </w:p>
    <w:p w:rsidR="005F03E3" w:rsidRPr="005F03E3" w:rsidRDefault="005F03E3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 отношениях с органами государственной власти Российской Федерации, органами государственной власти Челябинской области, органами местного самоуправления, физическими и юридическими лицами считать Собрание депутатов </w:t>
      </w:r>
      <w:r w:rsidR="00584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 первого созыва </w:t>
      </w:r>
      <w:r w:rsidR="00584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правопреемником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584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A2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Совета депутатов Акбашевского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Аязгуловского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Байрамгуловского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Дербишевского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Ишалинского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Камышевского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Кулуевского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Норкинского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Худайбердинского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D53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Яраткуловского сельского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D95FBC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D95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ного района Челябинской области </w:t>
      </w:r>
      <w:r w:rsidR="00887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переходом всех прав и обязанностей</w:t>
      </w:r>
      <w:r w:rsidR="00BA2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5A4E" w:rsidRDefault="005F03E3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 отношениях с органами государственной власти Российской Федерации, органами государственной власти Челябинской области, органами местного самоуправления, физическими и юридическими лицами считать администрацию </w:t>
      </w:r>
      <w:r w:rsidR="00584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 правопреемником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Акбашевского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Аязгуловского сельского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Байрамгуловского сельского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Дербишевского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Ишалинского сельского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Камышевского сельского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Кузнецкого сельского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Кулуевского сельского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Норкинского сельского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Худайбердинского сельского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B72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Яраткуловского сельского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Челябинской области с переходом всех прав и обязанностей.</w:t>
      </w:r>
    </w:p>
    <w:p w:rsidR="008D247D" w:rsidRPr="009A12BA" w:rsidRDefault="008D247D" w:rsidP="008D247D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>3</w:t>
      </w:r>
      <w:r w:rsidRPr="005F03E3">
        <w:rPr>
          <w:rFonts w:ascii="Times New Roman" w:eastAsia="Segoe UI" w:hAnsi="Times New Roman" w:cs="Times New Roman"/>
          <w:bCs/>
          <w:color w:val="000000"/>
          <w:kern w:val="3"/>
          <w:sz w:val="28"/>
          <w:szCs w:val="28"/>
          <w:lang w:eastAsia="zh-CN" w:bidi="hi-IN"/>
        </w:rPr>
        <w:t xml:space="preserve">.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отношениях с органами государственной власти Российской Федерации, органами государственной власти Челябинской области, органами местного самоуправления, физическими и юридическими лицами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считать </w:t>
      </w:r>
      <w:r w:rsidRPr="007125DE"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>Контрольно-счетный орган</w:t>
      </w:r>
      <w:r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 xml:space="preserve"> Аргаяшского </w:t>
      </w:r>
      <w:r w:rsidRPr="005F03E3"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>муниципаль</w:t>
      </w:r>
      <w:r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 xml:space="preserve">ного округа Челябинской области </w:t>
      </w:r>
      <w:r w:rsidRPr="005F03E3"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 xml:space="preserve">правопреемником Контрольно-счетной </w:t>
      </w:r>
      <w:r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>комиссии</w:t>
      </w:r>
      <w:r w:rsidRPr="005F03E3"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 xml:space="preserve">Аргаяшского </w:t>
      </w:r>
      <w:r w:rsidRPr="005F03E3">
        <w:rPr>
          <w:rFonts w:ascii="Times New Roman" w:eastAsia="Segoe UI" w:hAnsi="Times New Roman" w:cs="Tahoma"/>
          <w:kern w:val="3"/>
          <w:sz w:val="28"/>
          <w:szCs w:val="28"/>
          <w:lang w:eastAsia="zh-CN" w:bidi="hi-IN"/>
        </w:rPr>
        <w:t>муниципального района с переходом всех прав и обязанностей.</w:t>
      </w:r>
    </w:p>
    <w:p w:rsidR="00B72E88" w:rsidRDefault="008D247D" w:rsidP="00B72E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66C">
        <w:rPr>
          <w:rFonts w:ascii="Times New Roman" w:hAnsi="Times New Roman" w:cs="Times New Roman"/>
          <w:sz w:val="28"/>
          <w:szCs w:val="28"/>
        </w:rPr>
        <w:t>4</w:t>
      </w:r>
      <w:r w:rsidR="00B72E88" w:rsidRPr="0029666C">
        <w:rPr>
          <w:rFonts w:ascii="Times New Roman" w:hAnsi="Times New Roman" w:cs="Times New Roman"/>
          <w:sz w:val="28"/>
          <w:szCs w:val="28"/>
        </w:rPr>
        <w:t xml:space="preserve">. Определить, что решение о ликвидации органов местного </w:t>
      </w:r>
      <w:r w:rsidR="00B72E88" w:rsidRPr="0029666C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Аргаяшского муниципального района Челябинской области и сельских поселений Аргаяшского муниципального района Челябинской области как юридических лиц принимает Собрание депутатов Аргаяшского муниципального округа Челябинской области. </w:t>
      </w:r>
    </w:p>
    <w:p w:rsidR="00192165" w:rsidRPr="0029666C" w:rsidRDefault="008D247D" w:rsidP="008D247D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666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9666C">
        <w:rPr>
          <w:rFonts w:ascii="Times New Roman" w:hAnsi="Times New Roman" w:cs="Times New Roman"/>
          <w:sz w:val="28"/>
          <w:szCs w:val="28"/>
        </w:rPr>
        <w:t xml:space="preserve">Полномочия главы Аргаяшского муниципального района Челябинской области и глав сельских поселений Аргаяшского муниципального района Челябинской области прекращаются досрочно на основании </w:t>
      </w:r>
      <w:r w:rsidR="00D03F9E" w:rsidRPr="0029666C">
        <w:rPr>
          <w:rFonts w:ascii="Times New Roman" w:hAnsi="Times New Roman" w:cs="Times New Roman"/>
          <w:sz w:val="28"/>
          <w:szCs w:val="28"/>
        </w:rPr>
        <w:t>подпункта</w:t>
      </w:r>
      <w:r w:rsidRPr="0029666C">
        <w:rPr>
          <w:rFonts w:ascii="Times New Roman" w:hAnsi="Times New Roman" w:cs="Times New Roman"/>
          <w:sz w:val="28"/>
          <w:szCs w:val="28"/>
        </w:rPr>
        <w:t xml:space="preserve"> 5 части 1 статьи 21 Федеральный закон от 20.03.2025 № 33-ФЗ "Об общих принципах организации местного самоуправления в единой системе публичной власти" со дня вступления в должность Главы Аргаяшского муниципального округа Челябинской области.</w:t>
      </w:r>
      <w:proofErr w:type="gramEnd"/>
    </w:p>
    <w:p w:rsidR="00192165" w:rsidRPr="009014C2" w:rsidRDefault="008D247D" w:rsidP="008D247D">
      <w:pPr>
        <w:pStyle w:val="Default"/>
        <w:spacing w:line="276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9014C2">
        <w:rPr>
          <w:sz w:val="28"/>
          <w:szCs w:val="28"/>
        </w:rPr>
        <w:t>Глава Аргаяшского муниципального округа Челябинской области со дня вступления в должность осуществляет полномочия руководителя администрации Аргаяшского муниципальн</w:t>
      </w:r>
      <w:r w:rsidR="00192165">
        <w:rPr>
          <w:sz w:val="28"/>
          <w:szCs w:val="28"/>
        </w:rPr>
        <w:t xml:space="preserve">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Акбашевского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сельского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192165">
        <w:rPr>
          <w:rFonts w:eastAsia="Times New Roman"/>
          <w:bCs/>
          <w:sz w:val="28"/>
          <w:szCs w:val="28"/>
          <w:lang w:eastAsia="ru-RU"/>
        </w:rPr>
        <w:t>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Аргаяшского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>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Аязгуловского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Аргаяшского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>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Байрамгуловского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Дербишевского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proofErr w:type="gramEnd"/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Ишалинского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Камышевского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Кузнецкого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Кулуевского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Норкинского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администрации </w:t>
      </w:r>
      <w:r w:rsidR="00192165">
        <w:rPr>
          <w:rFonts w:eastAsia="Times New Roman"/>
          <w:bCs/>
          <w:sz w:val="28"/>
          <w:szCs w:val="28"/>
          <w:lang w:eastAsia="ru-RU"/>
        </w:rPr>
        <w:t>Худайбердинского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 xml:space="preserve">ного района Челябинской области, 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>администрации</w:t>
      </w:r>
      <w:proofErr w:type="gramEnd"/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192165">
        <w:rPr>
          <w:rFonts w:eastAsia="Times New Roman"/>
          <w:bCs/>
          <w:sz w:val="28"/>
          <w:szCs w:val="28"/>
          <w:lang w:eastAsia="ru-RU"/>
        </w:rPr>
        <w:t>Яраткуловского сельского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поселения </w:t>
      </w:r>
      <w:r w:rsidR="00192165">
        <w:rPr>
          <w:rFonts w:eastAsia="Times New Roman"/>
          <w:bCs/>
          <w:sz w:val="28"/>
          <w:szCs w:val="28"/>
          <w:lang w:eastAsia="ru-RU"/>
        </w:rPr>
        <w:t>Аргаяшского</w:t>
      </w:r>
      <w:r w:rsidR="00192165" w:rsidRPr="005F03E3">
        <w:rPr>
          <w:rFonts w:eastAsia="Times New Roman"/>
          <w:bCs/>
          <w:sz w:val="28"/>
          <w:szCs w:val="28"/>
          <w:lang w:eastAsia="ru-RU"/>
        </w:rPr>
        <w:t xml:space="preserve"> муниципаль</w:t>
      </w:r>
      <w:r w:rsidR="00192165">
        <w:rPr>
          <w:rFonts w:eastAsia="Times New Roman"/>
          <w:bCs/>
          <w:sz w:val="28"/>
          <w:szCs w:val="28"/>
          <w:lang w:eastAsia="ru-RU"/>
        </w:rPr>
        <w:t>ного района Челябинской области,</w:t>
      </w:r>
      <w:r w:rsidRPr="009014C2">
        <w:rPr>
          <w:sz w:val="28"/>
          <w:szCs w:val="28"/>
        </w:rPr>
        <w:t xml:space="preserve"> </w:t>
      </w:r>
      <w:r w:rsidR="00192165">
        <w:rPr>
          <w:sz w:val="28"/>
          <w:szCs w:val="28"/>
        </w:rPr>
        <w:t xml:space="preserve">и действует </w:t>
      </w:r>
      <w:r w:rsidRPr="009014C2">
        <w:rPr>
          <w:sz w:val="28"/>
          <w:szCs w:val="28"/>
        </w:rPr>
        <w:t>без доверенности от имени администраци</w:t>
      </w:r>
      <w:r w:rsidR="00192165">
        <w:rPr>
          <w:sz w:val="28"/>
          <w:szCs w:val="28"/>
        </w:rPr>
        <w:t>й перечисленных в абзаце 2 пункта 5.</w:t>
      </w:r>
    </w:p>
    <w:p w:rsidR="00380B5F" w:rsidRDefault="00192165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Муниципальные правовые акты, принятые органами местного самоуправления, которые на день создания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 осуществляли полномочия по решению вопросов местного значения на соответствующей территории, до вступления в силу Закона Челябинской области от 1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3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статусе и границах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Челябинской области», а также в период со дня вступления в силу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Закона Челябинской области от 1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статусе и границах </w:t>
      </w:r>
      <w:r w:rsidR="00B75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B75A4E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Челябинской области»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 дня формирования органов местного самоуправления</w:t>
      </w:r>
      <w:r w:rsidR="00B6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Аргаяшского м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униципального округа Челябинской области, действуют в части, не противоречащей Конституции Российской Федерации, федеральным законам и иным нормативным правовым актам Российской Федерации, законам и иным нормативным правовым актам Челябинской области, а также Уставу </w:t>
      </w:r>
      <w:r w:rsidR="00B6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округа, муниципальным правовым актам </w:t>
      </w:r>
      <w:r w:rsidR="00B6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округа, до дня признания их утратившими силу в установленном порядке и могут быть отменены и изменены соответственно </w:t>
      </w:r>
      <w:r w:rsid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лавой </w:t>
      </w:r>
      <w:r w:rsidR="00B6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Собранием депутатов </w:t>
      </w:r>
      <w:r w:rsidR="00B6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 w:rsidR="00D3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F03E3" w:rsidRDefault="00192165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Определить, что имущество (в том числе земельные участки), находящиеся в собственности преобразованных муниципальных образований </w:t>
      </w:r>
      <w:r w:rsidR="00B6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 переходит в собственность вновь образованного муниципального образования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области.</w:t>
      </w:r>
    </w:p>
    <w:p w:rsidR="005F03E3" w:rsidRPr="005F03E3" w:rsidRDefault="005F03E3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имущества, в том числе земельных участков, право собственности, на которые возникло у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 в порядке правопреемства, утверждается решением Собрания депутатов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области.</w:t>
      </w:r>
    </w:p>
    <w:p w:rsidR="005F03E3" w:rsidRDefault="005F03E3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Имущественные обязательства, права и обязанности органов местного самоуправления муниципального образования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области, возникающие в силу правопреемства, определяются действующим законодательством Российской Федерации.</w:t>
      </w:r>
    </w:p>
    <w:p w:rsidR="005F03E3" w:rsidRPr="005F03E3" w:rsidRDefault="00192165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Муниципальные учреждения, предприятия и организации, ранее созданные органами местного самоуправления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района Челябинской области,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сельских поселений, входящих в состав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района, продолжают осуществлять свою деятельность с сохранением их прежней организационно-правовой формы.</w:t>
      </w:r>
    </w:p>
    <w:p w:rsidR="005F03E3" w:rsidRPr="005F03E3" w:rsidRDefault="005F03E3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 учредителя муниципальных учреждений, предприятий и организаций, ранее созданных органами местного самоуправления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0D1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района, а также вопросы приема и увольнения руководителей данных муниципальных учреждений, предприятий и организаций, решения иных вопросов, осуществляет администрация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области.</w:t>
      </w:r>
    </w:p>
    <w:p w:rsidR="005F03E3" w:rsidRPr="005F03E3" w:rsidRDefault="005F03E3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Органы администрации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Челябинской области, зарегистрированные в качестве юридических лиц, продолжают осуществлять свою деятельность как органы администрации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области.</w:t>
      </w:r>
    </w:p>
    <w:p w:rsidR="005F03E3" w:rsidRPr="005F03E3" w:rsidRDefault="005F03E3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в учредительные документы муниципальных учреждений, предприятий, а также в учредительные и другие документы иных организаций в связи с переходом права собственности, иных прав и обязанностей к вновь образованному муниципальному образованию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области, вносятся в порядке, установленном законодательством Российской Федерации.</w:t>
      </w:r>
    </w:p>
    <w:p w:rsidR="005F03E3" w:rsidRPr="005F03E3" w:rsidRDefault="00192165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Определить, что правопреемником по делам, находящимся в процессе рассмотрения судебных органов, а также по делам, находящимся в стадии исполнения, выступает:</w:t>
      </w:r>
    </w:p>
    <w:p w:rsidR="005F03E3" w:rsidRPr="005F03E3" w:rsidRDefault="00192165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Собрание депутатов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области: </w:t>
      </w:r>
    </w:p>
    <w:p w:rsidR="005F03E3" w:rsidRDefault="00192165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.1.1) по спорам в отношении нормативных правовых актов, принятых представительными органами местного самоуправления преобразованных муниципальных образований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="00A22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A12BA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.1.2)</w:t>
      </w:r>
      <w:r w:rsidR="00F95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80B5F" w:rsidRP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спорам  гражданского, арбитражного  и  адм</w:t>
      </w:r>
      <w:r w:rsid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инистративного судопроизводства</w:t>
      </w:r>
      <w:r w:rsidR="009A12BA" w:rsidRP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преобразованных муниципальных образований 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F03E3" w:rsidRPr="005F03E3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9A12BA" w:rsidRP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по исполнительным производствам, стороной по которым являются представительные органы местного самоуправления преобразованных муниципальных образований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</w:t>
      </w:r>
      <w:r w:rsidR="00A22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03E3" w:rsidRPr="00FF7871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Администрация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области: </w:t>
      </w:r>
    </w:p>
    <w:p w:rsidR="009A12BA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A12BA" w:rsidRPr="00B52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9A12BA" w:rsidRP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A12BA" w:rsidRPr="00B52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спорам в отношении нормативных правовых актов, принятых исполнительно-распорядительными органами местного самоуправления (администрациями) преобразованных муниципальных образований Аргаяшского муниципального района Челябинской области, сельских поселений, входящих в состав Аргаяшского муниципального района Челябинской области;</w:t>
      </w:r>
    </w:p>
    <w:p w:rsidR="009A12BA" w:rsidRPr="009A12BA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.1.2) п</w:t>
      </w:r>
      <w:r w:rsidR="009A12BA" w:rsidRP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спорам  гражданского, арбитражного</w:t>
      </w:r>
      <w:r w:rsidR="009A12BA" w:rsidRP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12BA" w:rsidRPr="00380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  адм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инистративного судопроизводства</w:t>
      </w:r>
      <w:r w:rsidR="009A12BA" w:rsidRP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преобразованных муниципальных образований 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Челябинской области</w:t>
      </w:r>
      <w:r w:rsidR="009A12BA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F03E3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9A12BA" w:rsidRPr="009A1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97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споров с  исполнительно-распорядительными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органами местного самоуправления (администрациями) преобразованных муниципальных образований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района;</w:t>
      </w:r>
    </w:p>
    <w:p w:rsidR="005F03E3" w:rsidRPr="005F03E3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E37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исполнительным производствам, стороной по которым являются исполнительно – распорядительные орган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 (администрации) преобразованных муниципальных образований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района.</w:t>
      </w:r>
    </w:p>
    <w:p w:rsidR="005F03E3" w:rsidRDefault="00391FF6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Правопреемником администраций преобразованных муниципальных образований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Челябинской области, сельских поселений, входящих в состав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Аргаяшского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="00E37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  <w:r w:rsidR="00CD3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37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муниципальным контрактам и гражданско-правовым договорам является администрация </w:t>
      </w:r>
      <w:r w:rsidR="00067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Аргаяшского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области.</w:t>
      </w:r>
    </w:p>
    <w:p w:rsidR="004D1802" w:rsidRPr="005F03E3" w:rsidRDefault="004D1802" w:rsidP="00B72E8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2E88">
        <w:rPr>
          <w:rFonts w:ascii="Times New Roman" w:hAnsi="Times New Roman" w:cs="Times New Roman"/>
          <w:sz w:val="28"/>
          <w:szCs w:val="28"/>
        </w:rPr>
        <w:t xml:space="preserve">11. Установить, что до изготовления печатей, штампов и бланков органов местного самоуправления, муниципальных учреждений, предприятий и организаций </w:t>
      </w:r>
      <w:r w:rsidR="00B72E88">
        <w:rPr>
          <w:rFonts w:ascii="Times New Roman" w:hAnsi="Times New Roman" w:cs="Times New Roman"/>
          <w:sz w:val="28"/>
          <w:szCs w:val="28"/>
        </w:rPr>
        <w:t>Аргаяшского</w:t>
      </w:r>
      <w:r w:rsidRPr="00B72E88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подлежат использованию и применению печати, штампы и бланки соответственно органов местного самоуправления, муниципальных учреждений, предприятий и организаций </w:t>
      </w:r>
      <w:r w:rsidR="00B72E88">
        <w:rPr>
          <w:rFonts w:ascii="Times New Roman" w:hAnsi="Times New Roman" w:cs="Times New Roman"/>
          <w:sz w:val="28"/>
          <w:szCs w:val="28"/>
        </w:rPr>
        <w:t>Аргаяшского</w:t>
      </w:r>
      <w:r w:rsidRPr="00B72E8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72E88">
        <w:rPr>
          <w:rFonts w:ascii="Times New Roman" w:hAnsi="Times New Roman" w:cs="Times New Roman"/>
          <w:sz w:val="28"/>
          <w:szCs w:val="28"/>
        </w:rPr>
        <w:t>.</w:t>
      </w:r>
    </w:p>
    <w:p w:rsidR="005F03E3" w:rsidRPr="005F03E3" w:rsidRDefault="00DA3300" w:rsidP="00F95A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5F03E3" w:rsidRPr="005F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Вопросы правопреемства, не урегулированные настоящим решением, рассматриваются в соответствии с действующим законодательством Российской Федерации Челябинской области.</w:t>
      </w:r>
    </w:p>
    <w:p w:rsidR="007125DE" w:rsidRDefault="005F03E3" w:rsidP="007125DE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3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33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125DE"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7125DE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7125DE"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7125DE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125DE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71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125DE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71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25DE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125DE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71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125DE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="007125DE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125DE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="007125DE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5DE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="007125DE" w:rsidRPr="0035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1FF6" w:rsidRDefault="00391FF6" w:rsidP="007125DE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FF6" w:rsidRPr="00355A21" w:rsidRDefault="00391FF6" w:rsidP="007125DE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0B7" w:rsidRDefault="00A220B7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A220B7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0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0B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A2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A220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A220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A220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A220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Л.Ф. Юсупова</w:t>
      </w:r>
    </w:p>
    <w:p w:rsidR="00004556" w:rsidRDefault="00004556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556" w:rsidRDefault="00004556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Аргаяшского</w:t>
      </w:r>
    </w:p>
    <w:p w:rsidR="00004556" w:rsidRPr="00A220B7" w:rsidRDefault="00004556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И.В. Ишимов</w:t>
      </w:r>
    </w:p>
    <w:sectPr w:rsidR="00004556" w:rsidRPr="00A220B7" w:rsidSect="00800B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6725"/>
    <w:multiLevelType w:val="hybridMultilevel"/>
    <w:tmpl w:val="694CE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04556"/>
    <w:rsid w:val="00026437"/>
    <w:rsid w:val="00054099"/>
    <w:rsid w:val="00054EA5"/>
    <w:rsid w:val="0006721F"/>
    <w:rsid w:val="000A639C"/>
    <w:rsid w:val="000B508C"/>
    <w:rsid w:val="000D1EB2"/>
    <w:rsid w:val="000D237A"/>
    <w:rsid w:val="000E7292"/>
    <w:rsid w:val="00100331"/>
    <w:rsid w:val="0016147E"/>
    <w:rsid w:val="00192165"/>
    <w:rsid w:val="001C253C"/>
    <w:rsid w:val="00243913"/>
    <w:rsid w:val="00257B36"/>
    <w:rsid w:val="0029666C"/>
    <w:rsid w:val="002B1240"/>
    <w:rsid w:val="002D1D39"/>
    <w:rsid w:val="002E01F2"/>
    <w:rsid w:val="00355A21"/>
    <w:rsid w:val="00380B5F"/>
    <w:rsid w:val="00390661"/>
    <w:rsid w:val="00391FF6"/>
    <w:rsid w:val="003C63FC"/>
    <w:rsid w:val="003D2844"/>
    <w:rsid w:val="003F6990"/>
    <w:rsid w:val="004157AD"/>
    <w:rsid w:val="0047214A"/>
    <w:rsid w:val="00482807"/>
    <w:rsid w:val="004B4825"/>
    <w:rsid w:val="004B5EEC"/>
    <w:rsid w:val="004D1802"/>
    <w:rsid w:val="00584C5C"/>
    <w:rsid w:val="00595BE5"/>
    <w:rsid w:val="005E7026"/>
    <w:rsid w:val="005F03E3"/>
    <w:rsid w:val="0063076F"/>
    <w:rsid w:val="006A4622"/>
    <w:rsid w:val="00700707"/>
    <w:rsid w:val="007125DE"/>
    <w:rsid w:val="00786027"/>
    <w:rsid w:val="007E288C"/>
    <w:rsid w:val="007E5FFC"/>
    <w:rsid w:val="007F1D7A"/>
    <w:rsid w:val="00800B52"/>
    <w:rsid w:val="00825659"/>
    <w:rsid w:val="0085746D"/>
    <w:rsid w:val="00863277"/>
    <w:rsid w:val="00887F3E"/>
    <w:rsid w:val="008908A5"/>
    <w:rsid w:val="008D247D"/>
    <w:rsid w:val="009014C2"/>
    <w:rsid w:val="0092726F"/>
    <w:rsid w:val="00931C5C"/>
    <w:rsid w:val="009512FF"/>
    <w:rsid w:val="0097001F"/>
    <w:rsid w:val="009A12BA"/>
    <w:rsid w:val="009C0EC0"/>
    <w:rsid w:val="009D7CA8"/>
    <w:rsid w:val="00A220B7"/>
    <w:rsid w:val="00AB7813"/>
    <w:rsid w:val="00AE3CCD"/>
    <w:rsid w:val="00AF4A93"/>
    <w:rsid w:val="00B36D6D"/>
    <w:rsid w:val="00B438BD"/>
    <w:rsid w:val="00B52233"/>
    <w:rsid w:val="00B57ADD"/>
    <w:rsid w:val="00B61B6D"/>
    <w:rsid w:val="00B72E88"/>
    <w:rsid w:val="00B75A4E"/>
    <w:rsid w:val="00BA228E"/>
    <w:rsid w:val="00BA71B2"/>
    <w:rsid w:val="00BD3743"/>
    <w:rsid w:val="00BD3E34"/>
    <w:rsid w:val="00C015B2"/>
    <w:rsid w:val="00C86430"/>
    <w:rsid w:val="00CD1757"/>
    <w:rsid w:val="00CD3AA0"/>
    <w:rsid w:val="00D03F9E"/>
    <w:rsid w:val="00D11887"/>
    <w:rsid w:val="00D21C2A"/>
    <w:rsid w:val="00D357C9"/>
    <w:rsid w:val="00D53015"/>
    <w:rsid w:val="00D862DC"/>
    <w:rsid w:val="00D95FBC"/>
    <w:rsid w:val="00DA3300"/>
    <w:rsid w:val="00DF5E01"/>
    <w:rsid w:val="00E334F4"/>
    <w:rsid w:val="00E371F9"/>
    <w:rsid w:val="00E500A3"/>
    <w:rsid w:val="00E51D20"/>
    <w:rsid w:val="00E54D85"/>
    <w:rsid w:val="00E918F1"/>
    <w:rsid w:val="00E97BD4"/>
    <w:rsid w:val="00EA1143"/>
    <w:rsid w:val="00EE4898"/>
    <w:rsid w:val="00F03558"/>
    <w:rsid w:val="00F6769E"/>
    <w:rsid w:val="00F95A8D"/>
    <w:rsid w:val="00F95D8F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31C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E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31C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E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6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65</cp:revision>
  <dcterms:created xsi:type="dcterms:W3CDTF">2025-05-16T06:27:00Z</dcterms:created>
  <dcterms:modified xsi:type="dcterms:W3CDTF">2025-09-25T03:28:00Z</dcterms:modified>
</cp:coreProperties>
</file>