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  <w:sz w:val="24"/>
          <w:szCs w:val="24"/>
          <w:shd w:fill="auto" w:val="clear"/>
        </w:rPr>
      </w:pPr>
      <w:r>
        <w:rPr/>
      </w:r>
    </w:p>
    <w:p>
      <w:pPr>
        <w:pStyle w:val="Normal"/>
        <w:pageBreakBefore w:val="false"/>
        <w:spacing w:before="0" w:after="0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/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9210" simplePos="0" locked="0" layoutInCell="1" allowOverlap="1" relativeHeight="3">
                <wp:simplePos x="0" y="0"/>
                <wp:positionH relativeFrom="column">
                  <wp:posOffset>29845</wp:posOffset>
                </wp:positionH>
                <wp:positionV relativeFrom="paragraph">
                  <wp:posOffset>44450</wp:posOffset>
                </wp:positionV>
                <wp:extent cx="6120765" cy="0"/>
                <wp:effectExtent l="28575" t="28575" r="29210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35pt,3.5pt" to="484.25pt,3.5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28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285"/>
      </w:tblGrid>
      <w:tr>
        <w:trPr/>
        <w:tc>
          <w:tcPr>
            <w:tcW w:w="328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2026 г. № </w:t>
            </w:r>
            <w:r>
              <w:rPr>
                <w:sz w:val="28"/>
                <w:szCs w:val="28"/>
              </w:rPr>
              <w:t>293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55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550"/>
      </w:tblGrid>
      <w:tr>
        <w:trPr>
          <w:trHeight w:val="675" w:hRule="atLeast"/>
        </w:trPr>
        <w:tc>
          <w:tcPr>
            <w:tcW w:w="5550" w:type="dxa"/>
            <w:tcBorders/>
          </w:tcPr>
          <w:p>
            <w:pPr>
              <w:pStyle w:val="Normal"/>
              <w:spacing w:lineRule="auto" w:line="240"/>
              <w:jc w:val="left"/>
              <w:rPr/>
            </w:pPr>
            <w:r>
              <w:rPr>
                <w:rFonts w:ascii="Tinos" w:hAnsi="Tinos"/>
                <w:color w:val="auto"/>
                <w:sz w:val="28"/>
                <w:szCs w:val="28"/>
              </w:rPr>
              <w:t>О подготовке проекта внесения изменений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Fonts w:ascii="Tinos" w:hAnsi="Tinos"/>
                <w:color w:val="auto"/>
                <w:sz w:val="28"/>
                <w:szCs w:val="28"/>
              </w:rPr>
              <w:t>в правила землепользования и застройки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Fonts w:ascii="Tinos" w:hAnsi="Tinos"/>
                <w:color w:val="auto"/>
                <w:sz w:val="28"/>
                <w:szCs w:val="28"/>
              </w:rPr>
              <w:t>Камышевского сельского поселения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Fonts w:ascii="Tinos" w:hAnsi="Tinos"/>
                <w:color w:val="auto"/>
                <w:sz w:val="28"/>
                <w:szCs w:val="28"/>
              </w:rPr>
              <w:t>Аргаяшского муниципального района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Fonts w:ascii="Tinos" w:hAnsi="Tinos"/>
                <w:color w:val="auto"/>
                <w:sz w:val="28"/>
                <w:szCs w:val="28"/>
              </w:rPr>
              <w:t>Челябинской области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ab/>
      </w:r>
      <w:r>
        <w:rPr>
          <w:rStyle w:val="8"/>
          <w:rFonts w:eastAsia="Times New Roman" w:cs="Tinos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В соответствии c Федеральным законом Российской Федерации от 29.12.2004 № 190-ФЗ «Градостроительный кодекс Российской Федерации», Федеральным законом Российской Федерации от 06.10.2003 № 131-ФЗ        «Об общих принципах организации местного самоуправления в Российской Федерации», 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>Законом Челябинской области от 19.03.2025 № 31-ЗО «О статусе и границах Аргаяшского муниципального округа Челябинской области»</w:t>
      </w:r>
      <w:r>
        <w:rPr>
          <w:rStyle w:val="8"/>
          <w:rFonts w:eastAsia="Times New Roman" w:cs="Tinos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, уставом Аргаяшского муниципального округа, </w:t>
      </w:r>
      <w:r>
        <w:rPr>
          <w:rStyle w:val="8"/>
          <w:rFonts w:eastAsia="Times New Roman" w:cs="Tinos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>с заявлением от 22.01.2026 вх.№68,</w:t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-57"/>
              <w:jc w:val="center"/>
              <w:rPr/>
            </w:pP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 xml:space="preserve">администрация Аргаяшского муниципального округа </w:t>
            </w:r>
            <w:r>
              <w:rPr>
                <w:rFonts w:cs="Times New Roman" w:ascii="Tinos" w:hAnsi="Tinos"/>
                <w:caps/>
                <w:kern w:val="0"/>
                <w:sz w:val="28"/>
                <w:szCs w:val="28"/>
                <w:lang w:val="ru-RU" w:eastAsia="ru-RU" w:bidi="ar-SA"/>
              </w:rPr>
              <w:t>постановляет</w:t>
            </w: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nos" w:hAnsi="Tinos"/>
          <w:color w:val="auto"/>
          <w:sz w:val="28"/>
          <w:szCs w:val="28"/>
        </w:rPr>
      </w:pPr>
      <w:r>
        <w:rPr>
          <w:rFonts w:ascii="Tinos" w:hAnsi="Tinos"/>
          <w:color w:val="auto"/>
          <w:sz w:val="28"/>
          <w:szCs w:val="28"/>
        </w:rPr>
        <w:tab/>
        <w:t>1. Управлению строительства и архитектуры администрации Аргаяшского муниципального округа (далее по тексту - Управление УСиА) организовать работу по подготовке проекта внесения изменений в правила землепользования и застройки Камышевского сельского поселения Аргаяшского муниципального района Челябинской области, утвержденные решением Собрания депутатов Аргаяшского муниципального района № 362 от 29.03.2023 (далее по тексту - Проект).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1.1. Поручить УСиА осуществить подготовку технического задания.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1.2. Осуществить проверку за подготовкой материалов Проекта на соответствие требований действующего законодательства и технического задания на его подготовку.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2. Предложения заинтересованных лиц по Проекту направлять в УСиА: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- в письменной форме по адресу: 456880, Челябинская область, Аргаяшский муниципальный округ, с. Аргаяш, ул. 8 Марта, 38;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- посредством электронной почты на электронный адрес: archgrad102@argayash.ru.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3. Определить срок для разработки проекта не более 6 месяцев с даты опубликования настоящего постановления.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4. Утвердить состав комиссии по подготовке Проекта.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5. Утвердить порядок проведения работ по подготовке Проекта.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6. Утвердить порядок направления в комиссию предложений заинтересованных лиц по подготовке Проекта.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7. Настоящее постановление подлежит опубликованию на сайте    Аргаяш-Медиа (https://argayash.com, регистрация в качестве сетевого издания: ЭЛ № ФС 77 - 79597 от 18.12.2020), в общественно-политической газете «Восход» и размещению на официальном сайте Аргаяшского муниципального округа в информационно - телекоммуникационной сети «Интернет».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 xml:space="preserve">8. Контроль исполнения настоящего постановления возложить на заместителя </w:t>
      </w:r>
      <w:r>
        <w:rPr>
          <w:rFonts w:ascii="Tinos" w:hAnsi="Tinos"/>
          <w:sz w:val="28"/>
          <w:szCs w:val="28"/>
        </w:rPr>
        <w:t xml:space="preserve">главы, председателя комитета по управлению имуществом     </w:t>
      </w:r>
      <w:r>
        <w:rPr>
          <w:rFonts w:ascii="Tinos" w:hAnsi="Tinos"/>
          <w:sz w:val="28"/>
          <w:szCs w:val="28"/>
        </w:rPr>
        <w:t>С.В. Косарева.</w:t>
      </w:r>
    </w:p>
    <w:p>
      <w:pPr>
        <w:pStyle w:val="ConsPlusNormal"/>
        <w:ind w:firstLine="540" w:right="0"/>
        <w:jc w:val="both"/>
        <w:rPr/>
      </w:pPr>
      <w:r>
        <w:rPr>
          <w:rFonts w:ascii="Tinos" w:hAnsi="Tinos"/>
          <w:sz w:val="28"/>
          <w:szCs w:val="28"/>
        </w:rPr>
        <w:t>9. Вступает в силу с момента опубликования настоящего постановления.</w:t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bidi w:val="0"/>
              <w:spacing w:beforeAutospacing="0" w:before="0" w:afterAutospacing="0" w:after="0"/>
              <w:ind w:hanging="0" w:left="-113" w:right="113"/>
              <w:jc w:val="both"/>
              <w:textAlignment w:val="baseline"/>
              <w:rPr/>
            </w:pP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bidi w:val="0"/>
              <w:spacing w:beforeAutospacing="0" w:before="0" w:afterAutospacing="0" w:after="0"/>
              <w:ind w:hanging="0" w:left="-113" w:right="-57"/>
              <w:jc w:val="both"/>
              <w:textAlignment w:val="baseline"/>
              <w:rPr/>
            </w:pP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>муниципального округа                                                                        И.В. Ишимов</w:t>
            </w:r>
          </w:p>
        </w:tc>
      </w:tr>
    </w:tbl>
    <w:p>
      <w:pPr>
        <w:pStyle w:val="Normal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6009" w:right="-227"/>
        <w:jc w:val="left"/>
        <w:outlineLvl w:val="1"/>
        <w:rPr>
          <w:sz w:val="28"/>
          <w:szCs w:val="28"/>
        </w:rPr>
      </w:pPr>
      <w:r>
        <w:rPr>
          <w:rFonts w:cs="Times New Roman"/>
          <w:sz w:val="28"/>
          <w:szCs w:val="28"/>
        </w:rPr>
        <w:t>УТВЕРЖДЕН: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постановлением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администрации Аргаяшского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муниципального округа 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от </w:t>
      </w:r>
      <w:r>
        <w:rPr>
          <w:rFonts w:cs="Times New Roman" w:ascii="Tinos" w:hAnsi="Tinos"/>
          <w:sz w:val="28"/>
          <w:szCs w:val="28"/>
        </w:rPr>
        <w:t>16</w:t>
      </w:r>
      <w:r>
        <w:rPr>
          <w:rFonts w:cs="Times New Roman" w:ascii="Tinos" w:hAnsi="Tinos"/>
          <w:sz w:val="28"/>
          <w:szCs w:val="28"/>
        </w:rPr>
        <w:t>.</w:t>
      </w:r>
      <w:r>
        <w:rPr>
          <w:rFonts w:cs="Times New Roman" w:ascii="Tinos" w:hAnsi="Tinos"/>
          <w:sz w:val="28"/>
          <w:szCs w:val="28"/>
        </w:rPr>
        <w:t>03</w:t>
      </w:r>
      <w:r>
        <w:rPr>
          <w:rFonts w:cs="Times New Roman" w:ascii="Tinos" w:hAnsi="Tinos"/>
          <w:sz w:val="28"/>
          <w:szCs w:val="28"/>
        </w:rPr>
        <w:t xml:space="preserve">.2026 г. № </w:t>
      </w:r>
      <w:r>
        <w:rPr>
          <w:rFonts w:cs="Times New Roman" w:ascii="Tinos" w:hAnsi="Tinos"/>
          <w:sz w:val="28"/>
          <w:szCs w:val="28"/>
        </w:rPr>
        <w:t>293</w:t>
      </w:r>
    </w:p>
    <w:p>
      <w:pPr>
        <w:pStyle w:val="BodyTextFirstIndent1"/>
        <w:widowControl/>
        <w:suppressAutoHyphens w:val="true"/>
        <w:bidi w:val="0"/>
        <w:spacing w:lineRule="auto" w:line="240" w:before="0" w:after="0"/>
        <w:ind w:hanging="0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/>
      </w:pPr>
      <w:bookmarkStart w:id="0" w:name="P103"/>
      <w:bookmarkEnd w:id="0"/>
      <w:r>
        <w:rPr>
          <w:rFonts w:ascii="Tinos" w:hAnsi="Tinos"/>
          <w:b w:val="false"/>
          <w:sz w:val="28"/>
          <w:szCs w:val="28"/>
        </w:rPr>
        <w:t>Состав</w:t>
      </w:r>
    </w:p>
    <w:p>
      <w:pPr>
        <w:pStyle w:val="Normal"/>
        <w:jc w:val="center"/>
        <w:rPr/>
      </w:pPr>
      <w:r>
        <w:rPr>
          <w:rFonts w:cs="Tinos" w:ascii="Tinos" w:hAnsi="Tinos"/>
          <w:b w:val="false"/>
          <w:sz w:val="28"/>
          <w:szCs w:val="28"/>
        </w:rPr>
        <w:t xml:space="preserve">комиссии по </w:t>
      </w:r>
      <w:r>
        <w:rPr>
          <w:rFonts w:eastAsia="Times New Roman" w:cs="Times New Roman" w:ascii="Tinos" w:hAnsi="Tinos"/>
          <w:b w:val="false"/>
          <w:color w:val="141414"/>
          <w:sz w:val="28"/>
          <w:szCs w:val="28"/>
        </w:rPr>
        <w:t>подготовке</w:t>
      </w:r>
      <w:r>
        <w:rPr>
          <w:rFonts w:cs="Tinos" w:ascii="Tinos" w:hAnsi="Tinos"/>
          <w:b w:val="false"/>
          <w:sz w:val="28"/>
          <w:szCs w:val="28"/>
        </w:rPr>
        <w:t xml:space="preserve"> 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 проекта внесения изменений в правила землепользования и застройки Камышевского сельского поселения Аргаяшского муниципального </w:t>
      </w:r>
      <w:r>
        <w:rPr>
          <w:rFonts w:cs="Tinos" w:ascii="Tinos" w:hAnsi="Tinos"/>
          <w:b w:val="false"/>
          <w:color w:val="auto"/>
          <w:sz w:val="28"/>
          <w:szCs w:val="28"/>
        </w:rPr>
        <w:t>района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 Челябинской области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</w:r>
    </w:p>
    <w:tbl>
      <w:tblPr>
        <w:tblW w:w="9540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80"/>
        <w:gridCol w:w="330"/>
        <w:gridCol w:w="6930"/>
      </w:tblGrid>
      <w:tr>
        <w:trPr>
          <w:trHeight w:val="64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Косарев С.В.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0"/>
              <w:jc w:val="both"/>
              <w:rPr/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з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аместитель главы, председатель комитета по управлению имуществом</w:t>
            </w:r>
            <w:r>
              <w:rPr>
                <w:rFonts w:cs="Tinos" w:ascii="Tinos" w:hAnsi="Tinos"/>
                <w:color w:val="000000"/>
                <w:sz w:val="28"/>
                <w:szCs w:val="28"/>
                <w:shd w:fill="auto" w:val="clear"/>
              </w:rPr>
              <w:t>, председатель Комиссии</w:t>
            </w:r>
          </w:p>
        </w:tc>
      </w:tr>
      <w:tr>
        <w:trPr>
          <w:trHeight w:val="64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Абзалилов Ф.Р.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283"/>
              <w:jc w:val="both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cs="Tinos" w:ascii="Tinos" w:hAnsi="Tinos"/>
                <w:color w:val="000000"/>
                <w:sz w:val="28"/>
                <w:szCs w:val="28"/>
              </w:rPr>
              <w:t>Управления строительства и архитектуры</w:t>
            </w:r>
            <w:r>
              <w:rPr>
                <w:rFonts w:cs="Tinos" w:ascii="Tinos" w:hAnsi="Tinos"/>
                <w:color w:val="000000"/>
                <w:sz w:val="28"/>
                <w:szCs w:val="28"/>
              </w:rPr>
              <w:t>, заместитель председателя Комиссии</w:t>
            </w:r>
          </w:p>
        </w:tc>
      </w:tr>
      <w:tr>
        <w:trPr>
          <w:trHeight w:val="64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Селезенева Е.А.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283"/>
              <w:jc w:val="both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ведущий специалист отдела архитектуры Управления строительства и архитектуры</w:t>
            </w:r>
            <w:r>
              <w:rPr>
                <w:rFonts w:cs="Tinos" w:ascii="Tinos" w:hAnsi="Tinos"/>
                <w:color w:val="000000"/>
                <w:sz w:val="28"/>
                <w:szCs w:val="28"/>
              </w:rPr>
              <w:t>, секретарь Комиссии</w:t>
            </w:r>
          </w:p>
        </w:tc>
      </w:tr>
      <w:tr>
        <w:trPr>
          <w:trHeight w:val="34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Абылхасынов Р.А.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0"/>
              <w:jc w:val="both"/>
              <w:rPr/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з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аместитель 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г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л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а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в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ы</w:t>
            </w:r>
          </w:p>
        </w:tc>
      </w:tr>
      <w:tr>
        <w:trPr>
          <w:trHeight w:val="34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Афанасьева Л.А.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0"/>
              <w:jc w:val="both"/>
              <w:rPr/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з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аместитель главы, начальник Управления ЖКХ</w:t>
            </w:r>
          </w:p>
        </w:tc>
      </w:tr>
      <w:tr>
        <w:trPr>
          <w:trHeight w:val="34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Савинов Н.П.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0"/>
              <w:jc w:val="both"/>
              <w:rPr/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з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аместитель 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г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л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а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в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ы, 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н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а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ч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а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л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ь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н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и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к 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ф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и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н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а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н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с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о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в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о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г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о 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у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п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р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а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в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л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е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н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и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я</w:t>
            </w:r>
          </w:p>
        </w:tc>
      </w:tr>
      <w:tr>
        <w:trPr>
          <w:trHeight w:val="330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Салихова Л.И.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283"/>
              <w:jc w:val="both"/>
              <w:rPr/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начальник правового отдела</w:t>
            </w:r>
          </w:p>
        </w:tc>
      </w:tr>
    </w:tbl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6009" w:right="-227"/>
        <w:jc w:val="left"/>
        <w:outlineLvl w:val="1"/>
        <w:rPr>
          <w:sz w:val="28"/>
          <w:szCs w:val="28"/>
        </w:rPr>
      </w:pPr>
      <w:r>
        <w:rPr>
          <w:rFonts w:cs="Times New Roman"/>
          <w:sz w:val="28"/>
          <w:szCs w:val="28"/>
        </w:rPr>
        <w:t>УТВЕРЖДЕН: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постановлением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администрации Аргаяшского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муниципального округа 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от </w:t>
      </w:r>
      <w:r>
        <w:rPr>
          <w:rFonts w:cs="Times New Roman" w:ascii="Tinos" w:hAnsi="Tinos"/>
          <w:sz w:val="28"/>
          <w:szCs w:val="28"/>
        </w:rPr>
        <w:t>16</w:t>
      </w:r>
      <w:r>
        <w:rPr>
          <w:rFonts w:cs="Times New Roman" w:ascii="Tinos" w:hAnsi="Tinos"/>
          <w:sz w:val="28"/>
          <w:szCs w:val="28"/>
        </w:rPr>
        <w:t>.</w:t>
      </w:r>
      <w:r>
        <w:rPr>
          <w:rFonts w:cs="Times New Roman" w:ascii="Tinos" w:hAnsi="Tinos"/>
          <w:sz w:val="28"/>
          <w:szCs w:val="28"/>
        </w:rPr>
        <w:t>03</w:t>
      </w:r>
      <w:r>
        <w:rPr>
          <w:rFonts w:cs="Times New Roman" w:ascii="Tinos" w:hAnsi="Tinos"/>
          <w:sz w:val="28"/>
          <w:szCs w:val="28"/>
        </w:rPr>
        <w:t xml:space="preserve">.2026 г. № </w:t>
      </w:r>
      <w:r>
        <w:rPr>
          <w:rFonts w:cs="Times New Roman" w:ascii="Tinos" w:hAnsi="Tinos"/>
          <w:sz w:val="28"/>
          <w:szCs w:val="28"/>
        </w:rPr>
        <w:t>293</w:t>
      </w:r>
    </w:p>
    <w:p>
      <w:pPr>
        <w:pStyle w:val="BodyTextFirstIndent1"/>
        <w:widowControl/>
        <w:suppressAutoHyphens w:val="true"/>
        <w:bidi w:val="0"/>
        <w:spacing w:lineRule="auto" w:line="240" w:before="0" w:after="0"/>
        <w:ind w:hanging="0" w:left="6009" w:right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Порядок</w:t>
      </w:r>
    </w:p>
    <w:p>
      <w:pPr>
        <w:pStyle w:val="Normal"/>
        <w:jc w:val="center"/>
        <w:rPr/>
      </w:pPr>
      <w:r>
        <w:rPr>
          <w:rFonts w:cs="Times New Roman" w:ascii="Tinos" w:hAnsi="Tinos"/>
          <w:sz w:val="28"/>
          <w:szCs w:val="28"/>
        </w:rPr>
        <w:t xml:space="preserve">проведения работ 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по </w:t>
      </w:r>
      <w:r>
        <w:rPr>
          <w:rFonts w:eastAsia="Times New Roman" w:cs="Times New Roman" w:ascii="Tinos" w:hAnsi="Tinos"/>
          <w:b w:val="false"/>
          <w:color w:val="141414"/>
          <w:sz w:val="28"/>
          <w:szCs w:val="28"/>
        </w:rPr>
        <w:t>подготовке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 проекта внесения изменений в правила землепользования и застройки Камышевского сельского поселения Аргаяшского муниципального </w:t>
      </w:r>
      <w:r>
        <w:rPr>
          <w:rFonts w:cs="Tinos" w:ascii="Tinos" w:hAnsi="Tinos"/>
          <w:b w:val="false"/>
          <w:color w:val="auto"/>
          <w:sz w:val="28"/>
          <w:szCs w:val="28"/>
        </w:rPr>
        <w:t>района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 Челябинской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5000" w:type="pct"/>
        <w:jc w:val="left"/>
        <w:tblInd w:w="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562"/>
        <w:gridCol w:w="3406"/>
        <w:gridCol w:w="3200"/>
        <w:gridCol w:w="2236"/>
      </w:tblGrid>
      <w:tr>
        <w:trPr>
          <w:tblHeader w:val="true"/>
        </w:trPr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/>
            </w:pPr>
            <w:r>
              <w:rPr>
                <w:rFonts w:eastAsia="Times New Roman" w:cs="Times New Roman"/>
                <w:bCs/>
                <w:color w:val="141414"/>
                <w:sz w:val="24"/>
                <w:szCs w:val="24"/>
              </w:rPr>
              <w:t>№</w:t>
            </w:r>
          </w:p>
          <w:p>
            <w:pPr>
              <w:pStyle w:val="Normal"/>
              <w:spacing w:lineRule="atLeast" w:line="270"/>
              <w:jc w:val="center"/>
              <w:rPr/>
            </w:pPr>
            <w:r>
              <w:rPr>
                <w:rFonts w:eastAsia="Times New Roman" w:cs="Times New Roman"/>
                <w:bCs/>
                <w:color w:val="141414"/>
                <w:sz w:val="24"/>
                <w:szCs w:val="24"/>
              </w:rPr>
              <w:t>п/п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/>
            </w:pPr>
            <w:r>
              <w:rPr>
                <w:rFonts w:eastAsia="Times New Roman" w:cs="Times New Roman"/>
                <w:bCs/>
                <w:color w:val="141414"/>
                <w:sz w:val="24"/>
                <w:szCs w:val="24"/>
              </w:rPr>
              <w:t>Виды работ (этапы)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/>
            </w:pPr>
            <w:r>
              <w:rPr>
                <w:rFonts w:eastAsia="Times New Roman" w:cs="Times New Roman"/>
                <w:bCs/>
                <w:color w:val="141414"/>
                <w:sz w:val="24"/>
                <w:szCs w:val="24"/>
              </w:rPr>
              <w:t>Сроки исполнения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/>
            </w:pPr>
            <w:r>
              <w:rPr>
                <w:rFonts w:eastAsia="Times New Roman" w:cs="Times New Roman"/>
                <w:bCs/>
                <w:color w:val="141414"/>
                <w:sz w:val="24"/>
                <w:szCs w:val="24"/>
              </w:rPr>
              <w:t>Исполнитель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62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Подготовка заключения, в котором содержатся рекомендации в соответствии с поступившими предложениями о подготовке проекта внесения изменений в правила землепользования и застройки об отклонении такого предложения с указанием причин отклонения.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10 дней со дня поступления предложения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2.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62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Направление заключение главе Аргаяшского муниципального округа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5 дней со дня подготовки заключения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3.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62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 xml:space="preserve">Опубликование Решения о подготовке проекта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внесения изменений в правила землепользования и застройки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 течении 5 дней с даты принятия настоящего постановления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4.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62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 xml:space="preserve">Разработка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проекта внесения изменений в правила землепользования и застройки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 течении 6 месяцев с даты принятия настоящего постановления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Заявитель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5.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62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Направление проекта главе Аргаяшского муниципального округа для принятия решения о проведении публичных слушаний или общественных обсуждений по проекту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 неделя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6.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Принятие решения о проведении публичных слушаний или общественных обсуждений по проекту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Не позднее 10 дней со дня получения проекта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Глава Аргаяшского муниципального округа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7.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Опубликование материалов по проекту. Проведение публичных слушаний или общественных обсуждений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Не более 30 дней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8.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Внесение изменений в проект внесения изменений в правила землепользования и застройки по результатам публичных слушаний или общественных обсуждений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Срок определяется дополнительно, в зависимости от количества предложения и замечаний поступивших в ходе проведения публичных слушаний или общественных обсуждений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9.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Доработка проекта и представление его главе Аргаяшского муниципального округа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Срок определяется дополнительно, в зависимости от объема корректировки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10.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Представление проекта главе Аргаяшского муниципального округа для направления в Собрание депутатов Аргаяшского муниципального округа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napToGrid w:val="false"/>
              <w:spacing w:lineRule="atLeast" w:line="270"/>
              <w:ind w:left="78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tLeast" w:line="270"/>
              <w:ind w:left="78" w:right="8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Непосредственно после завершения процедуры согласования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11.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Принятие решения главой Аргаяшского муниципального округа о направлении проекта в Собрание депутатов Аргаяшского муниципального округа или об отклонении проекта и направлении его на доработку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ind w:left="78" w:right="8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 течение 10 дней после представления проекта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Глава Аргаяшского муниципального округа</w:t>
            </w:r>
          </w:p>
        </w:tc>
      </w:tr>
      <w:tr>
        <w:trPr/>
        <w:tc>
          <w:tcPr>
            <w:tcW w:w="562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12.</w:t>
            </w:r>
          </w:p>
        </w:tc>
        <w:tc>
          <w:tcPr>
            <w:tcW w:w="3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Направление проекта в Собрание депутатов Аргаяшского муниципального округа на рассмотрение и утверждение</w:t>
            </w:r>
          </w:p>
        </w:tc>
        <w:tc>
          <w:tcPr>
            <w:tcW w:w="320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 течение 10 дней после представления проекта</w:t>
            </w:r>
          </w:p>
        </w:tc>
        <w:tc>
          <w:tcPr>
            <w:tcW w:w="223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Глава Аргаяшского муниципального округа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6009" w:right="-227"/>
        <w:jc w:val="left"/>
        <w:outlineLvl w:val="1"/>
        <w:rPr>
          <w:sz w:val="28"/>
          <w:szCs w:val="28"/>
        </w:rPr>
      </w:pPr>
      <w:r>
        <w:rPr>
          <w:rFonts w:cs="Times New Roman"/>
          <w:sz w:val="28"/>
          <w:szCs w:val="28"/>
        </w:rPr>
        <w:t>УТВЕРЖДЕН: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постановлением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администрации Аргаяшского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муниципального округа 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6009" w:right="-227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от </w:t>
      </w:r>
      <w:r>
        <w:rPr>
          <w:rFonts w:cs="Times New Roman" w:ascii="Tinos" w:hAnsi="Tinos"/>
          <w:sz w:val="28"/>
          <w:szCs w:val="28"/>
        </w:rPr>
        <w:t>16</w:t>
      </w:r>
      <w:r>
        <w:rPr>
          <w:rFonts w:cs="Times New Roman" w:ascii="Tinos" w:hAnsi="Tinos"/>
          <w:sz w:val="28"/>
          <w:szCs w:val="28"/>
        </w:rPr>
        <w:t>.</w:t>
      </w:r>
      <w:r>
        <w:rPr>
          <w:rFonts w:cs="Times New Roman" w:ascii="Tinos" w:hAnsi="Tinos"/>
          <w:sz w:val="28"/>
          <w:szCs w:val="28"/>
        </w:rPr>
        <w:t>03</w:t>
      </w:r>
      <w:r>
        <w:rPr>
          <w:rFonts w:cs="Times New Roman" w:ascii="Tinos" w:hAnsi="Tinos"/>
          <w:sz w:val="28"/>
          <w:szCs w:val="28"/>
        </w:rPr>
        <w:t xml:space="preserve">.2026 г. № </w:t>
      </w:r>
      <w:r>
        <w:rPr>
          <w:rFonts w:cs="Times New Roman" w:ascii="Tinos" w:hAnsi="Tinos"/>
          <w:sz w:val="28"/>
          <w:szCs w:val="28"/>
        </w:rPr>
        <w:t>293</w:t>
      </w:r>
    </w:p>
    <w:p>
      <w:pPr>
        <w:pStyle w:val="BodyTextFirstIndent1"/>
        <w:widowControl/>
        <w:suppressAutoHyphens w:val="true"/>
        <w:bidi w:val="0"/>
        <w:spacing w:lineRule="auto" w:line="240" w:before="0" w:after="0"/>
        <w:ind w:hanging="0" w:left="6009" w:right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>Порядок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 xml:space="preserve">направления в комиссию предложений заинтересованных лиц по подготовке 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проекта внесения изменений в правила землепользования и застройки Камышевского сельского поселения Аргаяшского муниципального </w:t>
      </w:r>
      <w:r>
        <w:rPr>
          <w:rFonts w:cs="Tinos" w:ascii="Tinos" w:hAnsi="Tinos"/>
          <w:b w:val="false"/>
          <w:color w:val="auto"/>
          <w:sz w:val="28"/>
          <w:szCs w:val="28"/>
        </w:rPr>
        <w:t>района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 Челябинской области</w:t>
      </w:r>
    </w:p>
    <w:p>
      <w:pPr>
        <w:pStyle w:val="Normal"/>
        <w:jc w:val="center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ListNumber3"/>
        <w:widowControl w:val="false"/>
        <w:suppressAutoHyphens w:val="true"/>
        <w:bidi w:val="0"/>
        <w:spacing w:lineRule="auto" w:line="240" w:before="0" w:after="6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ab/>
        <w:t xml:space="preserve">1. С момента опубликования постановления администрации Аргаяшского муниципального округа о подготовке 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проекта внесения изменений в правила землепользования и застройки Камышевского сельского поселения Аргаяшского муниципального </w:t>
      </w:r>
      <w:r>
        <w:rPr>
          <w:rFonts w:cs="Tinos" w:ascii="Tinos" w:hAnsi="Tinos"/>
          <w:b w:val="false"/>
          <w:color w:val="auto"/>
          <w:sz w:val="28"/>
          <w:szCs w:val="28"/>
        </w:rPr>
        <w:t>района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 Челябинской области</w:t>
      </w:r>
      <w:r>
        <w:rPr>
          <w:rFonts w:cs="Tinos" w:ascii="Tinos" w:hAnsi="Tinos"/>
          <w:color w:val="auto"/>
          <w:sz w:val="28"/>
          <w:szCs w:val="28"/>
        </w:rPr>
        <w:t xml:space="preserve">, в течение срока проведения работ по подготовке проекта, заинтересованные лица вправе направлять в комиссию по подготовке проекта 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внесения изменений в правила землепользования и застройки </w:t>
      </w:r>
      <w:r>
        <w:rPr>
          <w:rFonts w:cs="Tinos" w:ascii="Tinos" w:hAnsi="Tinos"/>
          <w:color w:val="auto"/>
          <w:sz w:val="28"/>
          <w:szCs w:val="28"/>
        </w:rPr>
        <w:t xml:space="preserve"> (далее по тексту - Комиссия) предложения по подготовке 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проекта внесения изменений в правила землепользования и застройки Камышевского сельского поселения Аргаяшского муниципального </w:t>
      </w:r>
      <w:r>
        <w:rPr>
          <w:rFonts w:cs="Tinos" w:ascii="Tinos" w:hAnsi="Tinos"/>
          <w:b w:val="false"/>
          <w:color w:val="auto"/>
          <w:sz w:val="28"/>
          <w:szCs w:val="28"/>
        </w:rPr>
        <w:t>района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 Челябинской области</w:t>
      </w:r>
      <w:r>
        <w:rPr>
          <w:rFonts w:cs="Tinos" w:ascii="Tinos" w:hAnsi="Tinos"/>
          <w:color w:val="auto"/>
          <w:sz w:val="28"/>
          <w:szCs w:val="28"/>
        </w:rPr>
        <w:t xml:space="preserve"> (далее по тексту - предложения).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6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ab/>
        <w:t>2. Предложения могут быть направлены:</w:t>
      </w:r>
    </w:p>
    <w:p>
      <w:pPr>
        <w:pStyle w:val="ListNumber2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ab/>
        <w:t>2.1. По почте для передачи предложений непосредственно в Комиссию (с пометкой «В комиссию по подготовке проекта генерального плана и правил землепользования и застройки») по адресу: 456880, Челябинская область, Аргаяшский муниципальный округ, с. Аргаяш, ул. 8 Марта, 38.</w:t>
      </w:r>
    </w:p>
    <w:p>
      <w:pPr>
        <w:pStyle w:val="ListNumber2"/>
        <w:widowControl w:val="false"/>
        <w:suppressAutoHyphens w:val="true"/>
        <w:bidi w:val="0"/>
        <w:spacing w:lineRule="auto" w:line="240" w:before="0" w:after="6"/>
        <w:ind w:hanging="0" w:left="0" w:right="0"/>
        <w:jc w:val="both"/>
        <w:rPr/>
      </w:pPr>
      <w:r>
        <w:rPr>
          <w:rFonts w:cs="Tinos" w:ascii="Tinos" w:hAnsi="Tinos"/>
          <w:color w:val="auto"/>
          <w:sz w:val="28"/>
          <w:szCs w:val="28"/>
        </w:rPr>
        <w:tab/>
        <w:t xml:space="preserve">2.2. В форме электронного документа, на адрес электронной почты администрации Аргаяшского муниципального округа - </w:t>
      </w:r>
      <w:r>
        <w:rPr>
          <w:rStyle w:val="Hyperlink"/>
          <w:rFonts w:cs="Tinos" w:ascii="Tinos" w:hAnsi="Tinos"/>
          <w:color w:val="000000"/>
          <w:sz w:val="28"/>
          <w:szCs w:val="28"/>
          <w:u w:val="none"/>
          <w:shd w:fill="auto" w:val="clear"/>
        </w:rPr>
        <w:t>argayash@gov74.ru</w:t>
      </w:r>
      <w:r>
        <w:rPr>
          <w:rFonts w:cs="Tinos" w:ascii="Tinos" w:hAnsi="Tinos"/>
          <w:color w:val="000000"/>
          <w:sz w:val="28"/>
          <w:szCs w:val="28"/>
          <w:shd w:fill="auto" w:val="clear"/>
        </w:rPr>
        <w:t>.</w:t>
      </w:r>
    </w:p>
    <w:p>
      <w:pPr>
        <w:pStyle w:val="BodyTextFirstIndent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ab/>
        <w:t>При этом гражданин в обязательном порядке указывает свои фамилию, имя,</w:t>
      </w:r>
      <w:r>
        <w:rPr>
          <w:rFonts w:cs="Tinos" w:ascii="Tinos" w:hAnsi="Tinos"/>
          <w:sz w:val="28"/>
          <w:szCs w:val="28"/>
        </w:rPr>
        <w:t xml:space="preserve"> отчество, адрес электронной почты, если ответ должен быть направлен в форме электронного документа и почтовый адрес, если ответ должен быть направлен в письменной форме.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ab/>
        <w:t xml:space="preserve">3. 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</w:t>
      </w:r>
      <w:r>
        <w:rPr>
          <w:rFonts w:cs="Tinos" w:ascii="Tinos" w:hAnsi="Tinos"/>
          <w:color w:val="auto"/>
          <w:sz w:val="28"/>
          <w:szCs w:val="28"/>
        </w:rPr>
        <w:t>проекта</w:t>
      </w:r>
      <w:r>
        <w:rPr>
          <w:rFonts w:cs="Tinos" w:ascii="Tinos" w:hAnsi="Tinos"/>
          <w:sz w:val="28"/>
          <w:szCs w:val="28"/>
        </w:rPr>
        <w:t>, комиссией не рассматриваются.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ab/>
        <w:t>4. 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ab/>
        <w:t>5. Предложения, поступившие в Комиссию после завершения работ по подготовке проекта, не рассматриваются.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ab/>
        <w:t>6. Комиссия не дает ответы на поступившие предложения.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ab/>
        <w:t>7. Комиссия вправе вступать в переписку с заинтересованными лицами, направившими предложения.</w:t>
      </w:r>
    </w:p>
    <w:sectPr>
      <w:type w:val="nextPage"/>
      <w:pgSz w:w="11906" w:h="16838"/>
      <w:pgMar w:left="1701" w:right="800" w:gutter="0" w:header="0" w:top="567" w:footer="0" w:bottom="91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fals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Style16">
    <w:name w:val="Символ нумерации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shd w:fill="auto" w:val="clear"/>
      <w:vertAlign w:val="baseline"/>
      <w:lang w:val="ru-RU" w:bidi="ru-RU"/>
    </w:rPr>
  </w:style>
  <w:style w:type="character" w:styleId="8">
    <w:name w:val="Основной шрифт абзаца8"/>
    <w:qFormat/>
    <w:rPr/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  <w:style w:type="paragraph" w:styleId="Style17" w:customStyle="1">
    <w:name w:val="Заголовок"/>
    <w:basedOn w:val="Normal"/>
    <w:next w:val="BodyText"/>
    <w:qFormat/>
    <w:rsid w:val="005d534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5d534d"/>
    <w:pPr>
      <w:spacing w:lineRule="auto" w:line="276" w:before="0" w:after="140"/>
    </w:pPr>
    <w:rPr/>
  </w:style>
  <w:style w:type="paragraph" w:styleId="List">
    <w:name w:val="List"/>
    <w:basedOn w:val="BodyText"/>
    <w:rsid w:val="005d534d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5d534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rsid w:val="005d534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 w:customStyle="1">
    <w:name w:val="Указатель (user)"/>
    <w:basedOn w:val="Normal"/>
    <w:qFormat/>
    <w:rsid w:val="005d534d"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5d534d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Style19" w:customStyle="1">
    <w:name w:val="Колонтитулы"/>
    <w:basedOn w:val="Normal"/>
    <w:qFormat/>
    <w:rsid w:val="005d534d"/>
    <w:pPr/>
    <w:rPr/>
  </w:style>
  <w:style w:type="paragraph" w:styleId="user2" w:customStyle="1">
    <w:name w:val="Колонтитулы (user)"/>
    <w:basedOn w:val="Normal"/>
    <w:qFormat/>
    <w:rsid w:val="005d534d"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11" w:customStyle="1">
    <w:name w:val="Основной текст1"/>
    <w:basedOn w:val="Normal"/>
    <w:qFormat/>
    <w:rsid w:val="005d534d"/>
    <w:pPr>
      <w:widowControl w:val="false"/>
      <w:shd w:val="clear" w:color="auto" w:fill="FFFFFF"/>
      <w:ind w:firstLine="400"/>
    </w:pPr>
    <w:rPr/>
  </w:style>
  <w:style w:type="paragraph" w:styleId="Style20" w:customStyle="1">
    <w:name w:val="Другое"/>
    <w:basedOn w:val="Normal"/>
    <w:qFormat/>
    <w:rsid w:val="005d534d"/>
    <w:pPr>
      <w:widowControl w:val="false"/>
      <w:shd w:val="clear" w:color="auto" w:fill="FFFFFF"/>
      <w:ind w:firstLine="400"/>
    </w:pPr>
    <w:rPr/>
  </w:style>
  <w:style w:type="paragraph" w:styleId="Style21" w:customStyle="1">
    <w:name w:val="Содержимое таблицы"/>
    <w:basedOn w:val="Normal"/>
    <w:qFormat/>
    <w:rsid w:val="005d534d"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rsid w:val="005d534d"/>
    <w:pPr>
      <w:jc w:val="center"/>
    </w:pPr>
    <w:rPr>
      <w:b/>
      <w:bCs/>
    </w:rPr>
  </w:style>
  <w:style w:type="paragraph" w:styleId="user3">
    <w:name w:val="Содержимое врезки (user)"/>
    <w:basedOn w:val="Normal"/>
    <w:qFormat/>
    <w:pPr/>
    <w:rPr/>
  </w:style>
  <w:style w:type="paragraph" w:styleId="Style23">
    <w:name w:val="Содержимое врезки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0"/>
      <w:lang w:val="ru-RU" w:eastAsia="zh-CN" w:bidi="ar-SA"/>
    </w:rPr>
  </w:style>
  <w:style w:type="paragraph" w:styleId="BodyTextFirstIndent1">
    <w:name w:val="Body Text First Indent1"/>
    <w:basedOn w:val="BodyText"/>
    <w:qFormat/>
    <w:pPr>
      <w:ind w:firstLine="283" w:left="0" w:right="0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b/>
      <w:color w:val="auto"/>
      <w:kern w:val="0"/>
      <w:sz w:val="24"/>
      <w:szCs w:val="20"/>
      <w:lang w:val="ru-RU" w:eastAsia="zh-CN" w:bidi="ar-SA"/>
    </w:rPr>
  </w:style>
  <w:style w:type="paragraph" w:styleId="ListNumber3">
    <w:name w:val="List Number 3"/>
    <w:basedOn w:val="List"/>
    <w:pPr>
      <w:spacing w:before="0" w:after="120"/>
      <w:ind w:hanging="360" w:left="1080" w:right="0"/>
    </w:pPr>
    <w:rPr/>
  </w:style>
  <w:style w:type="paragraph" w:styleId="ListNumber2">
    <w:name w:val="List Number 2"/>
    <w:basedOn w:val="List"/>
    <w:pPr>
      <w:spacing w:before="0" w:after="120"/>
      <w:ind w:hanging="360" w:left="720" w:right="0"/>
    </w:pPr>
    <w:rPr/>
  </w:style>
  <w:style w:type="paragraph" w:styleId="BodyTextFirstIndent">
    <w:name w:val="Body Text First Indent"/>
    <w:basedOn w:val="BodyText"/>
    <w:pPr>
      <w:ind w:firstLine="283" w:left="0" w:right="0"/>
    </w:pPr>
    <w:rPr/>
  </w:style>
  <w:style w:type="numbering" w:styleId="user5" w:customStyle="1">
    <w:name w:val="Без списка (user)"/>
    <w:uiPriority w:val="99"/>
    <w:semiHidden/>
    <w:unhideWhenUsed/>
    <w:qFormat/>
    <w:rsid w:val="005d534d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LibreOffice/25.2.6.2$Linux_X86_64 LibreOffice_project/520$Build-2</Application>
  <AppVersion>15.0000</AppVersion>
  <Pages>6</Pages>
  <Words>1053</Words>
  <Characters>7616</Characters>
  <CharactersWithSpaces>8643</CharactersWithSpaces>
  <Paragraphs>133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2026-03-16T14:05:14Z</cp:lastPrinted>
  <dcterms:modified xsi:type="dcterms:W3CDTF">2026-03-16T14:16:16Z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